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Calibri" w:hAnsi="Calibri" w:eastAsia="宋体" w:cs="Times New Roman"/>
          <w:szCs w:val="22"/>
          <w:highlight w:val="none"/>
        </w:rPr>
      </w:pPr>
      <w:r>
        <w:rPr>
          <w:rFonts w:ascii="Calibri" w:hAnsi="Calibri" w:eastAsia="宋体" w:cs="Times New Roman"/>
          <w:szCs w:val="22"/>
          <w:highlight w:val="none"/>
        </w:rPr>
      </w:r>
      <w:r/>
    </w:p>
    <w:p>
      <w:pPr>
        <w:widowControl w:val="off"/>
        <w:rPr>
          <w:rFonts w:ascii="MS Mincho" w:hAnsi="Calibri" w:eastAsia="宋体" w:cs="Times New Roman"/>
          <w:color w:val="000000"/>
          <w:sz w:val="21"/>
          <w:szCs w:val="24"/>
          <w:highlight w:val="none"/>
          <w:lang w:val="en-US" w:eastAsia="zh-CN" w:bidi="ar-SA"/>
        </w:rPr>
      </w:pPr>
      <w:r>
        <w:rPr>
          <w:rFonts w:ascii="MS Mincho" w:hAnsi="Calibri" w:eastAsia="宋体" w:cs="Times New Roman"/>
          <w:color w:val="000000"/>
          <w:sz w:val="21"/>
          <w:szCs w:val="24"/>
          <w:highlight w:val="none"/>
          <w:lang w:val="en-US" w:eastAsia="zh-CN" w:bidi="ar-SA"/>
        </w:rPr>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bookmarkStart w:id="73" w:name="_GoBack"/>
      <w:r/>
      <w:bookmarkEnd w:id="73"/>
      <w:r/>
      <w:r/>
    </w:p>
    <w:p>
      <w:pPr>
        <w:rPr>
          <w:rFonts w:ascii="Calibri" w:hAnsi="Calibri" w:eastAsia="宋体" w:cs="Times New Roman"/>
          <w:szCs w:val="22"/>
          <w:highlight w:val="none"/>
        </w:rPr>
      </w:pPr>
      <w:r>
        <w:rPr>
          <w:rFonts w:ascii="Calibri" w:hAnsi="Calibri" w:eastAsia="宋体" w:cs="Times New Roman"/>
          <w:szCs w:val="22"/>
          <w:highlight w:val="none"/>
        </w:rPr>
      </w:r>
      <w:r/>
    </w:p>
    <w:p>
      <w:pPr>
        <w:jc w:val="center"/>
        <w:rPr>
          <w:rFonts w:hint="eastAsia" w:ascii="黑体" w:hAnsi="黑体" w:eastAsia="黑体" w:cs="Times New Roman"/>
          <w:b/>
          <w:sz w:val="84"/>
          <w:szCs w:val="84"/>
          <w:highlight w:val="none"/>
        </w:rPr>
      </w:pPr>
      <w:r>
        <w:rPr>
          <w:rFonts w:hint="eastAsia" w:ascii="黑体" w:hAnsi="黑体" w:eastAsia="黑体" w:cs="Times New Roman"/>
          <w:b/>
          <w:sz w:val="84"/>
          <w:szCs w:val="84"/>
          <w:highlight w:val="none"/>
        </w:rPr>
        <w:t xml:space="preserve">竞争性磋商文件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left="4168" w:hanging="2891"/>
        <w:spacing w:line="480" w:lineRule="auto"/>
        <w:rPr>
          <w:rFonts w:ascii="Arial" w:hAnsi="Arial" w:eastAsia="宋体" w:cs="Times New Roman"/>
          <w:b/>
          <w:bCs/>
          <w:color w:val="000000"/>
          <w:sz w:val="32"/>
          <w:szCs w:val="28"/>
          <w:highlight w:val="none"/>
        </w:rPr>
      </w:pPr>
      <w:r>
        <w:rPr>
          <w:rFonts w:hint="eastAsia" w:ascii="Arial" w:hAnsi="Arial" w:eastAsia="宋体" w:cs="Times New Roman"/>
          <w:b/>
          <w:bCs/>
          <w:color w:val="000000"/>
          <w:sz w:val="32"/>
          <w:szCs w:val="24"/>
          <w:highlight w:val="none"/>
        </w:rPr>
        <w:t xml:space="preserve">项目名称：</w:t>
      </w:r>
      <w:r>
        <w:rPr>
          <w:rFonts w:hint="eastAsia" w:ascii="Arial" w:hAnsi="Arial" w:eastAsia="宋体" w:cs="Times New Roman"/>
          <w:b/>
          <w:bCs/>
          <w:color w:val="000000"/>
          <w:sz w:val="32"/>
          <w:szCs w:val="28"/>
          <w:highlight w:val="none"/>
        </w:rPr>
        <w:t xml:space="preserve">灌云监测站省控大气站点移站比对监测服务项目</w:t>
      </w:r>
      <w:r/>
    </w:p>
    <w:p>
      <w:pPr>
        <w:ind w:left="4246" w:hanging="1529"/>
        <w:spacing w:line="48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8"/>
          <w:highlight w:val="none"/>
        </w:rPr>
        <w:t xml:space="preserve">（专门面向中小微企业）</w:t>
      </w:r>
      <w:r/>
    </w:p>
    <w:p>
      <w:pPr>
        <w:ind w:firstLine="1285"/>
        <w:spacing w:line="480" w:lineRule="auto"/>
        <w:rPr>
          <w:rFonts w:hint="eastAsia" w:ascii="Arial" w:hAnsi="Arial" w:eastAsia="宋体" w:cs="Times New Roman"/>
          <w:b/>
          <w:bCs/>
          <w:color w:val="000000"/>
          <w:sz w:val="32"/>
          <w:szCs w:val="28"/>
          <w:highlight w:val="none"/>
          <w:lang w:eastAsia="zh-CN"/>
        </w:rPr>
      </w:pPr>
      <w:r>
        <w:rPr>
          <w:rFonts w:hint="eastAsia" w:ascii="Arial" w:hAnsi="Arial" w:eastAsia="宋体" w:cs="Times New Roman"/>
          <w:b/>
          <w:bCs/>
          <w:sz w:val="32"/>
          <w:szCs w:val="24"/>
          <w:highlight w:val="none"/>
        </w:rPr>
        <w:t xml:space="preserve">项目编号：</w:t>
      </w:r>
      <w:r>
        <w:rPr>
          <w:rFonts w:hint="eastAsia" w:ascii="Arial" w:hAnsi="Arial" w:eastAsia="宋体" w:cs="Times New Roman"/>
          <w:b/>
          <w:bCs/>
          <w:sz w:val="32"/>
          <w:szCs w:val="24"/>
          <w:highlight w:val="none"/>
        </w:rPr>
        <w:tab/>
      </w:r>
      <w:r>
        <w:rPr>
          <w:rFonts w:hint="eastAsia" w:ascii="Arial" w:hAnsi="Arial" w:eastAsia="宋体" w:cs="Times New Roman"/>
          <w:b/>
          <w:bCs/>
          <w:color w:val="000000"/>
          <w:sz w:val="32"/>
          <w:szCs w:val="28"/>
          <w:highlight w:val="none"/>
          <w:lang w:eastAsia="zh-CN"/>
        </w:rPr>
        <w:t xml:space="preserve">JSZC-320723-JYZD-C2025-0010</w:t>
      </w:r>
      <w:r/>
    </w:p>
    <w:p>
      <w:pP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rPr>
      </w:r>
      <w:r/>
    </w:p>
    <w:p>
      <w:pPr>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rPr>
      </w:r>
      <w:r/>
    </w:p>
    <w:p>
      <w:pPr>
        <w:ind w:firstLine="1285"/>
        <w:rPr>
          <w:rFonts w:hint="eastAsia" w:ascii="宋体" w:hAnsi="宋体" w:eastAsia="宋体" w:cs="Times New Roman"/>
          <w:b/>
          <w:bCs/>
          <w:color w:val="000000"/>
          <w:sz w:val="32"/>
          <w:szCs w:val="32"/>
          <w:highlight w:val="none"/>
        </w:rPr>
      </w:pPr>
      <w:r>
        <w:rPr>
          <w:rFonts w:hint="eastAsia" w:ascii="宋体" w:hAnsi="宋体" w:eastAsia="宋体" w:cs="Times New Roman"/>
          <w:b/>
          <w:bCs/>
          <w:color w:val="000000"/>
          <w:sz w:val="32"/>
          <w:szCs w:val="32"/>
          <w:highlight w:val="none"/>
        </w:rPr>
        <w:t xml:space="preserve">采</w:t>
      </w:r>
      <w:r>
        <w:rPr>
          <w:rFonts w:hint="eastAsia" w:ascii="宋体" w:hAnsi="宋体" w:eastAsia="宋体" w:cs="Times New Roman"/>
          <w:b/>
          <w:bCs/>
          <w:color w:val="ff0000"/>
          <w:sz w:val="32"/>
          <w:szCs w:val="32"/>
          <w:highlight w:val="none"/>
        </w:rPr>
        <w:t xml:space="preserve">   </w:t>
      </w:r>
      <w:r>
        <w:rPr>
          <w:rFonts w:hint="eastAsia" w:ascii="宋体" w:hAnsi="宋体" w:eastAsia="宋体" w:cs="Times New Roman"/>
          <w:b/>
          <w:bCs/>
          <w:color w:val="000000"/>
          <w:sz w:val="32"/>
          <w:szCs w:val="32"/>
          <w:highlight w:val="none"/>
        </w:rPr>
        <w:t xml:space="preserve">购</w:t>
      </w:r>
      <w:r>
        <w:rPr>
          <w:rFonts w:hint="eastAsia" w:ascii="宋体" w:hAnsi="宋体" w:eastAsia="宋体" w:cs="Times New Roman"/>
          <w:b/>
          <w:bCs/>
          <w:color w:val="ff0000"/>
          <w:sz w:val="32"/>
          <w:szCs w:val="32"/>
          <w:highlight w:val="none"/>
        </w:rPr>
        <w:t xml:space="preserve">   </w:t>
      </w:r>
      <w:r>
        <w:rPr>
          <w:rFonts w:hint="eastAsia" w:ascii="宋体" w:hAnsi="宋体" w:eastAsia="宋体" w:cs="Times New Roman"/>
          <w:b/>
          <w:bCs/>
          <w:color w:val="000000"/>
          <w:sz w:val="32"/>
          <w:szCs w:val="32"/>
          <w:highlight w:val="none"/>
        </w:rPr>
        <w:t xml:space="preserve">人：连云港市灌云生态环境局</w:t>
      </w:r>
      <w:r/>
    </w:p>
    <w:p>
      <w:pPr>
        <w:ind w:firstLine="1285"/>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采购代理机构：江苏正大建设项目管理有限公司</w:t>
      </w:r>
      <w:r/>
    </w:p>
    <w:p>
      <w:pPr>
        <w:jc w:val="center"/>
        <w:spacing w:before="120" w:after="120" w:line="36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jc w:val="center"/>
        <w:widowControl/>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2025年</w:t>
      </w:r>
      <w:r>
        <w:rPr>
          <w:rFonts w:hint="eastAsia" w:ascii="Arial" w:hAnsi="Arial" w:eastAsia="宋体" w:cs="Times New Roman"/>
          <w:b/>
          <w:bCs/>
          <w:color w:val="000000"/>
          <w:sz w:val="32"/>
          <w:szCs w:val="24"/>
          <w:highlight w:val="none"/>
          <w:lang w:val="en-US" w:eastAsia="zh-CN"/>
        </w:rPr>
        <w:t xml:space="preserve">11</w:t>
      </w:r>
      <w:r>
        <w:rPr>
          <w:rFonts w:hint="eastAsia" w:ascii="Arial" w:hAnsi="Arial" w:eastAsia="宋体" w:cs="Times New Roman"/>
          <w:b/>
          <w:bCs/>
          <w:color w:val="000000"/>
          <w:sz w:val="32"/>
          <w:szCs w:val="24"/>
          <w:highlight w:val="none"/>
        </w:rPr>
        <w:t xml:space="preserve">月</w:t>
      </w:r>
      <w:r/>
    </w:p>
    <w:p>
      <w:pPr>
        <w:jc w:val="center"/>
        <w:widowControl w:val="off"/>
        <w:tabs>
          <w:tab w:val="right" w:pos="9638" w:leader="dot"/>
        </w:tabs>
        <w:rPr>
          <w:rFonts w:hint="eastAsia" w:ascii="黑体" w:hAnsi="黑体" w:eastAsia="黑体" w:cs="Times New Roman"/>
          <w:sz w:val="44"/>
          <w:szCs w:val="40"/>
          <w:highlight w:val="none"/>
          <w:lang w:val="en-US" w:eastAsia="zh-CN" w:bidi="ar-SA"/>
        </w:rPr>
      </w:pPr>
      <w:r>
        <w:rPr>
          <w:rFonts w:hint="eastAsia" w:ascii="黑体" w:hAnsi="黑体" w:eastAsia="黑体" w:cs="Times New Roman"/>
          <w:sz w:val="44"/>
          <w:szCs w:val="40"/>
          <w:highlight w:val="none"/>
          <w:lang w:val="en-US" w:eastAsia="zh-CN" w:bidi="ar-SA"/>
        </w:rPr>
        <w:t xml:space="preserve">  </w:t>
      </w:r>
      <w:r/>
    </w:p>
    <w:p>
      <w:pPr>
        <w:jc w:val="center"/>
        <w:widowControl w:val="off"/>
        <w:tabs>
          <w:tab w:val="right" w:pos="9638" w:leader="dot"/>
        </w:tabs>
        <w:rPr>
          <w:rFonts w:hint="eastAsia" w:ascii="黑体" w:hAnsi="黑体" w:eastAsia="黑体" w:cs="Times New Roman"/>
          <w:sz w:val="44"/>
          <w:szCs w:val="40"/>
          <w:highlight w:val="none"/>
          <w:lang w:val="en-US" w:eastAsia="zh-CN" w:bidi="ar-SA"/>
        </w:rPr>
      </w:pPr>
      <w:r>
        <w:rPr>
          <w:rFonts w:hint="eastAsia" w:ascii="黑体" w:hAnsi="黑体" w:eastAsia="黑体" w:cs="Times New Roman"/>
          <w:sz w:val="44"/>
          <w:szCs w:val="40"/>
          <w:highlight w:val="none"/>
          <w:lang w:val="en-US" w:eastAsia="zh-CN" w:bidi="ar-SA"/>
        </w:rPr>
        <w:t xml:space="preserve">目录</w:t>
      </w:r>
      <w:r/>
    </w:p>
    <w:p>
      <w:pPr>
        <w:jc w:val="center"/>
        <w:widowControl/>
        <w:rPr>
          <w:rFonts w:ascii="Calibri" w:hAnsi="Calibri" w:eastAsia="宋体" w:cs="Times New Roman"/>
          <w:szCs w:val="22"/>
          <w:highlight w:val="none"/>
        </w:rPr>
      </w:pPr>
      <w:r>
        <w:rPr>
          <w:rFonts w:ascii="Calibri" w:hAnsi="Calibri" w:eastAsia="宋体" w:cs="Times New Roman"/>
          <w:szCs w:val="22"/>
          <w:highlight w:val="none"/>
        </w:rPr>
        <w:fldChar w:fldCharType="begin"/>
      </w:r>
      <w:r>
        <w:rPr>
          <w:rFonts w:ascii="Calibri" w:hAnsi="Calibri" w:eastAsia="宋体" w:cs="Times New Roman"/>
          <w:szCs w:val="22"/>
          <w:highlight w:val="none"/>
        </w:rPr>
        <w:instrText xml:space="preserve"> TOC \o "1-1" \u </w:instrText>
      </w:r>
      <w:r>
        <w:rPr>
          <w:rFonts w:ascii="Calibri" w:hAnsi="Calibri" w:eastAsia="宋体" w:cs="Times New Roman"/>
          <w:szCs w:val="22"/>
          <w:highlight w:val="none"/>
        </w:rPr>
        <w:fldChar w:fldCharType="separate"/>
      </w:r>
      <w:r/>
    </w:p>
    <w:p>
      <w:pPr>
        <w:jc w:val="center"/>
        <w:widowControl w:val="off"/>
        <w:tabs>
          <w:tab w:val="right" w:pos="9638" w:leader="dot"/>
        </w:tabs>
        <w:rPr>
          <w:rFonts w:hint="eastAsia" w:ascii="黑体" w:hAnsi="黑体" w:eastAsia="黑体" w:cs="Times New Roman"/>
          <w:sz w:val="36"/>
          <w:szCs w:val="32"/>
          <w:highlight w:val="none"/>
          <w:lang w:val="en-US" w:eastAsia="zh-CN" w:bidi="ar-SA"/>
        </w:rPr>
      </w:pPr>
      <w:r>
        <w:rPr>
          <w:rFonts w:hint="eastAsia" w:ascii="黑体" w:hAnsi="黑体" w:eastAsia="黑体" w:cs="Times New Roman"/>
          <w:sz w:val="36"/>
          <w:szCs w:val="32"/>
          <w:highlight w:val="none"/>
          <w:lang w:val="en-US" w:eastAsia="zh-CN" w:bidi="ar-SA"/>
        </w:rPr>
        <w:t xml:space="preserve">第一章  磋商公告</w:t>
      </w:r>
      <w:r>
        <w:rPr>
          <w:rFonts w:ascii="黑体" w:hAnsi="黑体" w:eastAsia="黑体" w:cs="Times New Roman"/>
          <w:sz w:val="36"/>
          <w:szCs w:val="32"/>
          <w:highlight w:val="none"/>
          <w:lang w:val="en-US" w:eastAsia="zh-CN" w:bidi="ar-SA"/>
        </w:rPr>
        <w:tab/>
      </w:r>
      <w:r>
        <w:rPr>
          <w:rFonts w:ascii="黑体" w:hAnsi="黑体" w:eastAsia="黑体" w:cs="Times New Roman"/>
          <w:sz w:val="36"/>
          <w:szCs w:val="32"/>
          <w:highlight w:val="none"/>
          <w:lang w:val="en-US" w:eastAsia="zh-CN" w:bidi="ar-SA"/>
        </w:rPr>
        <w:fldChar w:fldCharType="begin"/>
      </w:r>
      <w:r>
        <w:rPr>
          <w:rFonts w:ascii="黑体" w:hAnsi="黑体" w:eastAsia="黑体" w:cs="Times New Roman"/>
          <w:sz w:val="36"/>
          <w:szCs w:val="32"/>
          <w:highlight w:val="none"/>
          <w:lang w:val="en-US" w:eastAsia="zh-CN" w:bidi="ar-SA"/>
        </w:rPr>
        <w:instrText xml:space="preserve"> PAGEREF _Toc27806 \h </w:instrText>
      </w:r>
      <w:r>
        <w:rPr>
          <w:rFonts w:ascii="黑体" w:hAnsi="黑体" w:eastAsia="黑体" w:cs="Times New Roman"/>
          <w:sz w:val="36"/>
          <w:szCs w:val="32"/>
          <w:highlight w:val="none"/>
          <w:lang w:val="en-US" w:eastAsia="zh-CN" w:bidi="ar-SA"/>
        </w:rPr>
        <w:fldChar w:fldCharType="separate"/>
      </w:r>
      <w:r>
        <w:rPr>
          <w:rFonts w:ascii="黑体" w:hAnsi="黑体" w:eastAsia="黑体" w:cs="Times New Roman"/>
          <w:sz w:val="36"/>
          <w:szCs w:val="32"/>
          <w:highlight w:val="none"/>
          <w:lang w:val="en-US" w:eastAsia="zh-CN" w:bidi="ar-SA"/>
        </w:rPr>
        <w:t xml:space="preserve">3</w:t>
      </w:r>
      <w:r>
        <w:rPr>
          <w:rFonts w:ascii="黑体" w:hAnsi="黑体" w:eastAsia="黑体" w:cs="Times New Roman"/>
          <w:sz w:val="36"/>
          <w:szCs w:val="32"/>
          <w:highlight w:val="none"/>
          <w:lang w:val="en-US" w:eastAsia="zh-CN" w:bidi="ar-SA"/>
        </w:rPr>
        <w:fldChar w:fldCharType="end"/>
      </w:r>
      <w:r/>
    </w:p>
    <w:p>
      <w:pPr>
        <w:jc w:val="center"/>
        <w:widowControl w:val="off"/>
        <w:tabs>
          <w:tab w:val="right" w:pos="9638" w:leader="dot"/>
        </w:tabs>
        <w:rPr>
          <w:rFonts w:hint="eastAsia" w:ascii="黑体" w:hAnsi="黑体" w:eastAsia="黑体" w:cs="Times New Roman"/>
          <w:sz w:val="36"/>
          <w:szCs w:val="32"/>
          <w:highlight w:val="none"/>
          <w:lang w:val="en-US" w:eastAsia="zh-CN" w:bidi="ar-SA"/>
        </w:rPr>
      </w:pPr>
      <w:r>
        <w:rPr>
          <w:rFonts w:hint="eastAsia" w:ascii="黑体" w:hAnsi="黑体" w:eastAsia="黑体" w:cs="Times New Roman"/>
          <w:sz w:val="36"/>
          <w:szCs w:val="32"/>
          <w:highlight w:val="none"/>
          <w:lang w:val="en-US" w:eastAsia="zh-CN" w:bidi="ar-SA"/>
        </w:rPr>
        <w:t xml:space="preserve">第二章  供应商须知</w:t>
      </w:r>
      <w:r>
        <w:rPr>
          <w:rFonts w:ascii="黑体" w:hAnsi="黑体" w:eastAsia="黑体" w:cs="Times New Roman"/>
          <w:sz w:val="36"/>
          <w:szCs w:val="32"/>
          <w:highlight w:val="none"/>
          <w:lang w:val="en-US" w:eastAsia="zh-CN" w:bidi="ar-SA"/>
        </w:rPr>
        <w:tab/>
      </w:r>
      <w:r>
        <w:rPr>
          <w:rFonts w:ascii="黑体" w:hAnsi="黑体" w:eastAsia="黑体" w:cs="Times New Roman"/>
          <w:sz w:val="36"/>
          <w:szCs w:val="32"/>
          <w:highlight w:val="none"/>
          <w:lang w:val="en-US" w:eastAsia="zh-CN" w:bidi="ar-SA"/>
        </w:rPr>
        <w:fldChar w:fldCharType="begin"/>
      </w:r>
      <w:r>
        <w:rPr>
          <w:rFonts w:ascii="黑体" w:hAnsi="黑体" w:eastAsia="黑体" w:cs="Times New Roman"/>
          <w:sz w:val="36"/>
          <w:szCs w:val="32"/>
          <w:highlight w:val="none"/>
          <w:lang w:val="en-US" w:eastAsia="zh-CN" w:bidi="ar-SA"/>
        </w:rPr>
        <w:instrText xml:space="preserve"> PAGEREF _Toc27266 \h </w:instrText>
      </w:r>
      <w:r>
        <w:rPr>
          <w:rFonts w:ascii="黑体" w:hAnsi="黑体" w:eastAsia="黑体" w:cs="Times New Roman"/>
          <w:sz w:val="36"/>
          <w:szCs w:val="32"/>
          <w:highlight w:val="none"/>
          <w:lang w:val="en-US" w:eastAsia="zh-CN" w:bidi="ar-SA"/>
        </w:rPr>
        <w:fldChar w:fldCharType="separate"/>
      </w:r>
      <w:r>
        <w:rPr>
          <w:rFonts w:ascii="黑体" w:hAnsi="黑体" w:eastAsia="黑体" w:cs="Times New Roman"/>
          <w:sz w:val="36"/>
          <w:szCs w:val="32"/>
          <w:highlight w:val="none"/>
          <w:lang w:val="en-US" w:eastAsia="zh-CN" w:bidi="ar-SA"/>
        </w:rPr>
        <w:t xml:space="preserve">7</w:t>
      </w:r>
      <w:r>
        <w:rPr>
          <w:rFonts w:ascii="黑体" w:hAnsi="黑体" w:eastAsia="黑体" w:cs="Times New Roman"/>
          <w:sz w:val="36"/>
          <w:szCs w:val="32"/>
          <w:highlight w:val="none"/>
          <w:lang w:val="en-US" w:eastAsia="zh-CN" w:bidi="ar-SA"/>
        </w:rPr>
        <w:fldChar w:fldCharType="end"/>
      </w:r>
      <w:r/>
    </w:p>
    <w:p>
      <w:pPr>
        <w:jc w:val="center"/>
        <w:widowControl w:val="off"/>
        <w:tabs>
          <w:tab w:val="right" w:pos="9638" w:leader="dot"/>
        </w:tabs>
        <w:rPr>
          <w:rFonts w:hint="eastAsia" w:ascii="黑体" w:hAnsi="黑体" w:eastAsia="黑体" w:cs="Times New Roman"/>
          <w:sz w:val="36"/>
          <w:szCs w:val="32"/>
          <w:highlight w:val="none"/>
          <w:lang w:val="en-US" w:eastAsia="zh-CN" w:bidi="ar-SA"/>
        </w:rPr>
      </w:pPr>
      <w:r>
        <w:rPr>
          <w:rFonts w:hint="eastAsia" w:ascii="黑体" w:hAnsi="黑体" w:eastAsia="黑体" w:cs="Times New Roman"/>
          <w:sz w:val="36"/>
          <w:szCs w:val="32"/>
          <w:highlight w:val="none"/>
          <w:lang w:val="en-US" w:eastAsia="zh-CN" w:bidi="ar-SA"/>
        </w:rPr>
        <w:t xml:space="preserve">第三章  合同文本</w:t>
      </w:r>
      <w:r>
        <w:rPr>
          <w:rFonts w:ascii="黑体" w:hAnsi="黑体" w:eastAsia="黑体" w:cs="Times New Roman"/>
          <w:sz w:val="36"/>
          <w:szCs w:val="32"/>
          <w:highlight w:val="none"/>
          <w:lang w:val="en-US" w:eastAsia="zh-CN" w:bidi="ar-SA"/>
        </w:rPr>
        <w:tab/>
      </w:r>
      <w:r>
        <w:rPr>
          <w:rFonts w:ascii="黑体" w:hAnsi="黑体" w:eastAsia="黑体" w:cs="Times New Roman"/>
          <w:sz w:val="36"/>
          <w:szCs w:val="32"/>
          <w:highlight w:val="none"/>
          <w:lang w:val="en-US" w:eastAsia="zh-CN" w:bidi="ar-SA"/>
        </w:rPr>
        <w:fldChar w:fldCharType="begin"/>
      </w:r>
      <w:r>
        <w:rPr>
          <w:rFonts w:ascii="黑体" w:hAnsi="黑体" w:eastAsia="黑体" w:cs="Times New Roman"/>
          <w:sz w:val="36"/>
          <w:szCs w:val="32"/>
          <w:highlight w:val="none"/>
          <w:lang w:val="en-US" w:eastAsia="zh-CN" w:bidi="ar-SA"/>
        </w:rPr>
        <w:instrText xml:space="preserve"> PAGEREF _Toc11883 \h </w:instrText>
      </w:r>
      <w:r>
        <w:rPr>
          <w:rFonts w:ascii="黑体" w:hAnsi="黑体" w:eastAsia="黑体" w:cs="Times New Roman"/>
          <w:sz w:val="36"/>
          <w:szCs w:val="32"/>
          <w:highlight w:val="none"/>
          <w:lang w:val="en-US" w:eastAsia="zh-CN" w:bidi="ar-SA"/>
        </w:rPr>
        <w:fldChar w:fldCharType="separate"/>
      </w:r>
      <w:r>
        <w:rPr>
          <w:rFonts w:ascii="黑体" w:hAnsi="黑体" w:eastAsia="黑体" w:cs="Times New Roman"/>
          <w:sz w:val="36"/>
          <w:szCs w:val="32"/>
          <w:highlight w:val="none"/>
          <w:lang w:val="en-US" w:eastAsia="zh-CN" w:bidi="ar-SA"/>
        </w:rPr>
        <w:t xml:space="preserve">22</w:t>
      </w:r>
      <w:r>
        <w:rPr>
          <w:rFonts w:ascii="黑体" w:hAnsi="黑体" w:eastAsia="黑体" w:cs="Times New Roman"/>
          <w:sz w:val="36"/>
          <w:szCs w:val="32"/>
          <w:highlight w:val="none"/>
          <w:lang w:val="en-US" w:eastAsia="zh-CN" w:bidi="ar-SA"/>
        </w:rPr>
        <w:fldChar w:fldCharType="end"/>
      </w:r>
      <w:r/>
    </w:p>
    <w:p>
      <w:pPr>
        <w:jc w:val="center"/>
        <w:widowControl w:val="off"/>
        <w:tabs>
          <w:tab w:val="right" w:pos="9638" w:leader="dot"/>
        </w:tabs>
        <w:rPr>
          <w:rFonts w:hint="eastAsia" w:ascii="黑体" w:hAnsi="黑体" w:eastAsia="黑体" w:cs="Times New Roman"/>
          <w:sz w:val="36"/>
          <w:szCs w:val="32"/>
          <w:highlight w:val="none"/>
          <w:lang w:val="en-US" w:eastAsia="zh-CN" w:bidi="ar-SA"/>
        </w:rPr>
      </w:pPr>
      <w:r>
        <w:rPr>
          <w:rFonts w:hint="eastAsia" w:ascii="黑体" w:hAnsi="黑体" w:eastAsia="黑体" w:cs="Times New Roman"/>
          <w:sz w:val="36"/>
          <w:szCs w:val="32"/>
          <w:highlight w:val="none"/>
          <w:lang w:val="en-US" w:eastAsia="zh-CN" w:bidi="ar-SA"/>
        </w:rPr>
        <w:t xml:space="preserve">第四章  采购需求</w:t>
      </w:r>
      <w:r>
        <w:rPr>
          <w:rFonts w:ascii="黑体" w:hAnsi="黑体" w:eastAsia="黑体" w:cs="Times New Roman"/>
          <w:sz w:val="36"/>
          <w:szCs w:val="32"/>
          <w:highlight w:val="none"/>
          <w:lang w:val="en-US" w:eastAsia="zh-CN" w:bidi="ar-SA"/>
        </w:rPr>
        <w:tab/>
      </w:r>
      <w:r>
        <w:rPr>
          <w:rFonts w:ascii="黑体" w:hAnsi="黑体" w:eastAsia="黑体" w:cs="Times New Roman"/>
          <w:sz w:val="36"/>
          <w:szCs w:val="32"/>
          <w:highlight w:val="none"/>
          <w:lang w:val="en-US" w:eastAsia="zh-CN" w:bidi="ar-SA"/>
        </w:rPr>
        <w:fldChar w:fldCharType="begin"/>
      </w:r>
      <w:r>
        <w:rPr>
          <w:rFonts w:ascii="黑体" w:hAnsi="黑体" w:eastAsia="黑体" w:cs="Times New Roman"/>
          <w:sz w:val="36"/>
          <w:szCs w:val="32"/>
          <w:highlight w:val="none"/>
          <w:lang w:val="en-US" w:eastAsia="zh-CN" w:bidi="ar-SA"/>
        </w:rPr>
        <w:instrText xml:space="preserve"> PAGEREF _Toc5154 \h </w:instrText>
      </w:r>
      <w:r>
        <w:rPr>
          <w:rFonts w:ascii="黑体" w:hAnsi="黑体" w:eastAsia="黑体" w:cs="Times New Roman"/>
          <w:sz w:val="36"/>
          <w:szCs w:val="32"/>
          <w:highlight w:val="none"/>
          <w:lang w:val="en-US" w:eastAsia="zh-CN" w:bidi="ar-SA"/>
        </w:rPr>
        <w:fldChar w:fldCharType="separate"/>
      </w:r>
      <w:r>
        <w:rPr>
          <w:rFonts w:ascii="黑体" w:hAnsi="黑体" w:eastAsia="黑体" w:cs="Times New Roman"/>
          <w:sz w:val="36"/>
          <w:szCs w:val="32"/>
          <w:highlight w:val="none"/>
          <w:lang w:val="en-US" w:eastAsia="zh-CN" w:bidi="ar-SA"/>
        </w:rPr>
        <w:t xml:space="preserve">26</w:t>
      </w:r>
      <w:r>
        <w:rPr>
          <w:rFonts w:ascii="黑体" w:hAnsi="黑体" w:eastAsia="黑体" w:cs="Times New Roman"/>
          <w:sz w:val="36"/>
          <w:szCs w:val="32"/>
          <w:highlight w:val="none"/>
          <w:lang w:val="en-US" w:eastAsia="zh-CN" w:bidi="ar-SA"/>
        </w:rPr>
        <w:fldChar w:fldCharType="end"/>
      </w:r>
      <w:r/>
    </w:p>
    <w:p>
      <w:pPr>
        <w:jc w:val="center"/>
        <w:widowControl w:val="off"/>
        <w:tabs>
          <w:tab w:val="right" w:pos="9638" w:leader="dot"/>
        </w:tabs>
        <w:rPr>
          <w:rFonts w:hint="eastAsia" w:ascii="黑体" w:hAnsi="黑体" w:eastAsia="黑体" w:cs="Times New Roman"/>
          <w:sz w:val="36"/>
          <w:szCs w:val="32"/>
          <w:highlight w:val="none"/>
          <w:lang w:val="en-US" w:eastAsia="zh-CN" w:bidi="ar-SA"/>
        </w:rPr>
      </w:pPr>
      <w:r>
        <w:rPr>
          <w:rFonts w:hint="eastAsia" w:ascii="黑体" w:hAnsi="黑体" w:eastAsia="黑体" w:cs="Times New Roman"/>
          <w:sz w:val="36"/>
          <w:szCs w:val="32"/>
          <w:highlight w:val="none"/>
          <w:lang w:val="en-US" w:eastAsia="zh-CN" w:bidi="ar-SA"/>
        </w:rPr>
        <w:t xml:space="preserve">第五章  评审方法与评审标准</w:t>
      </w:r>
      <w:r>
        <w:rPr>
          <w:rFonts w:ascii="黑体" w:hAnsi="黑体" w:eastAsia="黑体" w:cs="Times New Roman"/>
          <w:sz w:val="36"/>
          <w:szCs w:val="32"/>
          <w:highlight w:val="none"/>
          <w:lang w:val="en-US" w:eastAsia="zh-CN" w:bidi="ar-SA"/>
        </w:rPr>
        <w:tab/>
      </w:r>
      <w:r>
        <w:rPr>
          <w:rFonts w:ascii="黑体" w:hAnsi="黑体" w:eastAsia="黑体" w:cs="Times New Roman"/>
          <w:sz w:val="36"/>
          <w:szCs w:val="32"/>
          <w:highlight w:val="none"/>
          <w:lang w:val="en-US" w:eastAsia="zh-CN" w:bidi="ar-SA"/>
        </w:rPr>
        <w:fldChar w:fldCharType="begin"/>
      </w:r>
      <w:r>
        <w:rPr>
          <w:rFonts w:ascii="黑体" w:hAnsi="黑体" w:eastAsia="黑体" w:cs="Times New Roman"/>
          <w:sz w:val="36"/>
          <w:szCs w:val="32"/>
          <w:highlight w:val="none"/>
          <w:lang w:val="en-US" w:eastAsia="zh-CN" w:bidi="ar-SA"/>
        </w:rPr>
        <w:instrText xml:space="preserve"> PAGEREF _Toc20506 \h </w:instrText>
      </w:r>
      <w:r>
        <w:rPr>
          <w:rFonts w:ascii="黑体" w:hAnsi="黑体" w:eastAsia="黑体" w:cs="Times New Roman"/>
          <w:sz w:val="36"/>
          <w:szCs w:val="32"/>
          <w:highlight w:val="none"/>
          <w:lang w:val="en-US" w:eastAsia="zh-CN" w:bidi="ar-SA"/>
        </w:rPr>
        <w:fldChar w:fldCharType="separate"/>
      </w:r>
      <w:r>
        <w:rPr>
          <w:rFonts w:ascii="黑体" w:hAnsi="黑体" w:eastAsia="黑体" w:cs="Times New Roman"/>
          <w:sz w:val="36"/>
          <w:szCs w:val="32"/>
          <w:highlight w:val="none"/>
          <w:lang w:val="en-US" w:eastAsia="zh-CN" w:bidi="ar-SA"/>
        </w:rPr>
        <w:t xml:space="preserve">36</w:t>
      </w:r>
      <w:r>
        <w:rPr>
          <w:rFonts w:ascii="黑体" w:hAnsi="黑体" w:eastAsia="黑体" w:cs="Times New Roman"/>
          <w:sz w:val="36"/>
          <w:szCs w:val="32"/>
          <w:highlight w:val="none"/>
          <w:lang w:val="en-US" w:eastAsia="zh-CN" w:bidi="ar-SA"/>
        </w:rPr>
        <w:fldChar w:fldCharType="end"/>
      </w:r>
      <w:r/>
    </w:p>
    <w:p>
      <w:pPr>
        <w:jc w:val="center"/>
        <w:widowControl w:val="off"/>
        <w:tabs>
          <w:tab w:val="right" w:pos="9638" w:leader="dot"/>
        </w:tabs>
        <w:rPr>
          <w:rFonts w:hint="eastAsia" w:ascii="黑体" w:hAnsi="黑体" w:eastAsia="黑体" w:cs="Times New Roman"/>
          <w:sz w:val="36"/>
          <w:szCs w:val="32"/>
          <w:highlight w:val="none"/>
          <w:lang w:val="en-US" w:eastAsia="zh-CN" w:bidi="ar-SA"/>
        </w:rPr>
      </w:pPr>
      <w:r>
        <w:rPr>
          <w:rFonts w:hint="eastAsia" w:ascii="黑体" w:hAnsi="黑体" w:eastAsia="黑体" w:cs="Times New Roman"/>
          <w:sz w:val="36"/>
          <w:szCs w:val="32"/>
          <w:highlight w:val="none"/>
          <w:lang w:val="en-US" w:eastAsia="zh-CN" w:bidi="ar-SA"/>
        </w:rPr>
        <w:t xml:space="preserve">第六章  响应文件格式</w:t>
      </w:r>
      <w:r>
        <w:rPr>
          <w:rFonts w:ascii="黑体" w:hAnsi="黑体" w:eastAsia="黑体" w:cs="Times New Roman"/>
          <w:sz w:val="36"/>
          <w:szCs w:val="32"/>
          <w:highlight w:val="none"/>
          <w:lang w:val="en-US" w:eastAsia="zh-CN" w:bidi="ar-SA"/>
        </w:rPr>
        <w:tab/>
      </w:r>
      <w:r>
        <w:rPr>
          <w:rFonts w:hint="eastAsia" w:ascii="黑体" w:hAnsi="黑体" w:eastAsia="黑体" w:cs="Times New Roman"/>
          <w:sz w:val="36"/>
          <w:szCs w:val="32"/>
          <w:highlight w:val="none"/>
          <w:lang w:val="en-US" w:eastAsia="zh-CN" w:bidi="ar-SA"/>
        </w:rPr>
        <w:t xml:space="preserve">40</w:t>
      </w:r>
      <w:r/>
    </w:p>
    <w:p>
      <w:pPr>
        <w:jc w:val="center"/>
        <w:spacing w:before="120" w:after="120" w:line="360" w:lineRule="auto"/>
        <w:widowControl/>
        <w:rPr>
          <w:rFonts w:ascii="Calibri" w:hAnsi="Calibri" w:eastAsia="宋体" w:cs="Times New Roman"/>
          <w:szCs w:val="22"/>
          <w:highlight w:val="none"/>
        </w:rPr>
      </w:pPr>
      <w:r>
        <w:rPr>
          <w:rFonts w:ascii="Calibri" w:hAnsi="Calibri" w:eastAsia="宋体" w:cs="Times New Roman"/>
          <w:szCs w:val="22"/>
          <w:highlight w:val="none"/>
        </w:rPr>
        <w:fldChar w:fldCharType="end"/>
      </w:r>
      <w:r>
        <w:rPr>
          <w:rFonts w:hint="eastAsia" w:ascii="Calibri" w:hAnsi="Calibri" w:eastAsia="宋体" w:cs="Times New Roman"/>
          <w:szCs w:val="22"/>
          <w:highlight w:val="none"/>
        </w:rPr>
        <w:t xml:space="preserve"> </w:t>
      </w:r>
      <w:r>
        <w:rPr>
          <w:rFonts w:ascii="Calibri" w:hAnsi="Calibri" w:eastAsia="宋体" w:cs="Times New Roman"/>
          <w:szCs w:val="22"/>
          <w:highlight w:val="none"/>
        </w:rPr>
        <w:br w:type="page" w:clear="all"/>
      </w:r>
      <w:r/>
    </w:p>
    <w:p>
      <w:pPr>
        <w:jc w:val="center"/>
        <w:spacing w:before="156" w:after="156" w:line="360" w:lineRule="auto"/>
        <w:rPr>
          <w:rFonts w:hint="eastAsia" w:ascii="黑体" w:hAnsi="黑体" w:eastAsia="黑体"/>
          <w:b w:val="0"/>
          <w:highlight w:val="none"/>
        </w:rPr>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黑体" w:hAnsi="黑体" w:eastAsia="黑体"/>
          <w:b w:val="0"/>
          <w:highlight w:val="none"/>
        </w:rPr>
      </w:r>
      <w:r/>
    </w:p>
    <w:p>
      <w:pPr>
        <w:jc w:val="center"/>
        <w:keepLines/>
        <w:keepNext/>
        <w:spacing w:before="156" w:after="156" w:line="360" w:lineRule="auto"/>
        <w:widowControl w:val="off"/>
        <w:rPr>
          <w:rFonts w:hint="eastAsia" w:ascii="黑体" w:hAnsi="黑体" w:eastAsia="黑体" w:cs="Times New Roman"/>
          <w:b w:val="0"/>
          <w:bCs/>
          <w:sz w:val="44"/>
          <w:szCs w:val="44"/>
          <w:highlight w:val="none"/>
          <w:lang w:val="en-US" w:eastAsia="zh-CN" w:bidi="ar-SA"/>
        </w:rPr>
        <w:outlineLvl w:val="0"/>
      </w:pPr>
      <w:r/>
      <w:bookmarkStart w:id="0" w:name="_Toc27806"/>
      <w:r>
        <w:rPr>
          <w:rFonts w:hint="eastAsia" w:ascii="黑体" w:hAnsi="黑体" w:eastAsia="黑体" w:cs="Times New Roman"/>
          <w:b w:val="0"/>
          <w:bCs/>
          <w:sz w:val="44"/>
          <w:szCs w:val="44"/>
          <w:highlight w:val="none"/>
          <w:lang w:val="en-US" w:eastAsia="zh-CN" w:bidi="ar-SA"/>
        </w:rPr>
        <w:t xml:space="preserve">第一章  磋商公告</w:t>
      </w:r>
      <w:bookmarkEnd w:id="0"/>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受</w:t>
      </w:r>
      <w:r>
        <w:rPr>
          <w:rFonts w:hint="eastAsia" w:ascii="Calibri" w:hAnsi="Calibri" w:eastAsia="宋体" w:cs="Times New Roman"/>
          <w:sz w:val="24"/>
          <w:szCs w:val="24"/>
          <w:highlight w:val="none"/>
          <w:u w:val="single"/>
        </w:rPr>
        <w:t xml:space="preserve">连云港市灌云生态环境局</w:t>
      </w:r>
      <w:r>
        <w:rPr>
          <w:rFonts w:hint="eastAsia" w:ascii="Calibri" w:hAnsi="Calibri" w:eastAsia="宋体" w:cs="Times New Roman"/>
          <w:sz w:val="24"/>
          <w:szCs w:val="24"/>
          <w:highlight w:val="none"/>
        </w:rPr>
        <w:t xml:space="preserve">的委托，</w:t>
      </w:r>
      <w:r>
        <w:rPr>
          <w:rFonts w:hint="eastAsia" w:ascii="Calibri" w:hAnsi="Calibri" w:eastAsia="宋体" w:cs="Times New Roman"/>
          <w:sz w:val="24"/>
          <w:szCs w:val="24"/>
          <w:highlight w:val="none"/>
          <w:u w:val="single"/>
        </w:rPr>
        <w:t xml:space="preserve">江苏正大建设项目管理有限公司</w:t>
      </w:r>
      <w:r>
        <w:rPr>
          <w:rFonts w:hint="eastAsia" w:ascii="Calibri" w:hAnsi="Calibri" w:eastAsia="宋体" w:cs="Times New Roman"/>
          <w:sz w:val="24"/>
          <w:szCs w:val="24"/>
          <w:highlight w:val="none"/>
        </w:rPr>
        <w:t xml:space="preserve">就</w:t>
      </w:r>
      <w:r>
        <w:rPr>
          <w:rFonts w:hint="eastAsia" w:ascii="Calibri" w:hAnsi="Calibri" w:eastAsia="宋体" w:cs="Times New Roman"/>
          <w:sz w:val="24"/>
          <w:szCs w:val="24"/>
          <w:highlight w:val="none"/>
          <w:u w:val="single"/>
        </w:rPr>
        <w:t xml:space="preserve">灌云监测站省控大气站点移站比对监测服务项目（专门面向中小微企业）</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lang w:eastAsia="zh-CN"/>
        </w:rPr>
        <w:t xml:space="preserve">JSZC-320723-JYZD-C2025-0010</w:t>
      </w:r>
      <w:r>
        <w:rPr>
          <w:rFonts w:hint="eastAsia" w:ascii="Calibri" w:hAnsi="Calibri" w:eastAsia="宋体" w:cs="Times New Roman"/>
          <w:sz w:val="24"/>
          <w:szCs w:val="24"/>
          <w:highlight w:val="none"/>
        </w:rPr>
        <w:t xml:space="preserve">）进行竞争性磋商采购，欢迎符合条件的供应商参加磋商。</w:t>
      </w:r>
      <w:r/>
    </w:p>
    <w:tbl>
      <w:tblPr>
        <w:tblStyle w:val="8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textDirection w:val="lrTb"/>
            <w:noWrap w:val="false"/>
          </w:tcPr>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项目概况</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u w:val="single"/>
              </w:rPr>
              <w:t xml:space="preserve">灌云监测站省控大气站点移站比对监测服务项目（专门面向中小微企业）</w:t>
            </w:r>
            <w:r>
              <w:rPr>
                <w:rFonts w:hint="eastAsia" w:ascii="Calibri" w:hAnsi="Calibri" w:eastAsia="宋体" w:cs="Times New Roman"/>
                <w:sz w:val="24"/>
                <w:szCs w:val="24"/>
                <w:highlight w:val="none"/>
              </w:rPr>
              <w:t xml:space="preserve">的潜在供应商应在“江苏政府采购网”自行免费下载采购文件，并于2025年</w:t>
            </w:r>
            <w:r>
              <w:rPr>
                <w:rFonts w:hint="eastAsia" w:ascii="Calibri" w:hAnsi="Calibri" w:eastAsia="宋体" w:cs="Times New Roman"/>
                <w:sz w:val="24"/>
                <w:szCs w:val="24"/>
                <w:highlight w:val="none"/>
                <w:lang w:val="en-US" w:eastAsia="zh-CN"/>
              </w:rPr>
              <w:t xml:space="preserve">11</w:t>
            </w:r>
            <w:r>
              <w:rPr>
                <w:rFonts w:hint="eastAsia" w:ascii="Calibri" w:hAnsi="Calibri" w:eastAsia="宋体" w:cs="Times New Roman"/>
                <w:sz w:val="24"/>
                <w:szCs w:val="24"/>
                <w:highlight w:val="none"/>
              </w:rPr>
              <w:t xml:space="preserve">月</w:t>
            </w:r>
            <w:r>
              <w:rPr>
                <w:rFonts w:hint="eastAsia" w:ascii="Calibri" w:hAnsi="Calibri" w:eastAsia="宋体" w:cs="Times New Roman"/>
                <w:sz w:val="24"/>
                <w:szCs w:val="24"/>
                <w:highlight w:val="none"/>
                <w:lang w:val="en-US" w:eastAsia="zh-CN"/>
              </w:rPr>
              <w:t xml:space="preserve">21</w:t>
            </w:r>
            <w:r>
              <w:rPr>
                <w:rFonts w:hint="eastAsia" w:ascii="Calibri" w:hAnsi="Calibri" w:eastAsia="宋体" w:cs="Times New Roman"/>
                <w:sz w:val="24"/>
                <w:szCs w:val="24"/>
                <w:highlight w:val="none"/>
              </w:rPr>
              <w:t xml:space="preserve">日10:00:00（北京时间）前提交（上传）响应文件。</w:t>
            </w:r>
            <w:r/>
          </w:p>
        </w:tc>
      </w:tr>
    </w:tbl>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一、项目基本情况</w:t>
      </w:r>
      <w:r/>
    </w:p>
    <w:p>
      <w:pPr>
        <w:ind w:firstLine="48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项目编号：</w:t>
      </w:r>
      <w:r>
        <w:rPr>
          <w:rFonts w:hint="eastAsia" w:ascii="Calibri" w:hAnsi="Calibri" w:eastAsia="宋体" w:cs="Times New Roman"/>
          <w:sz w:val="24"/>
          <w:szCs w:val="24"/>
          <w:highlight w:val="none"/>
          <w:lang w:eastAsia="zh-CN"/>
        </w:rPr>
        <w:t xml:space="preserve">JSZC-320723-JYZD-C2025-0010</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项目名称：灌云监测站省控大气站点移站比对监测服务项目（专门面向中小微企业）</w:t>
      </w:r>
      <w:r/>
    </w:p>
    <w:p>
      <w:pPr>
        <w:ind w:firstLine="480"/>
        <w:jc w:val="left"/>
        <w:spacing w:line="360" w:lineRule="auto"/>
        <w:rPr>
          <w:rFonts w:hint="eastAsia" w:ascii="宋体" w:hAnsi="宋体" w:eastAsia="宋体" w:cs="Times New Roman"/>
          <w:b/>
          <w:bCs/>
          <w:sz w:val="24"/>
          <w:szCs w:val="22"/>
          <w:highlight w:val="none"/>
        </w:rPr>
      </w:pPr>
      <w:r>
        <w:rPr>
          <w:rFonts w:hint="eastAsia" w:ascii="Calibri" w:hAnsi="Calibri" w:eastAsia="宋体" w:cs="Times New Roman"/>
          <w:sz w:val="24"/>
          <w:szCs w:val="24"/>
          <w:highlight w:val="none"/>
        </w:rPr>
        <w:t xml:space="preserve">预算金额：</w:t>
      </w:r>
      <w:r>
        <w:rPr>
          <w:rFonts w:hint="eastAsia" w:ascii="宋体" w:hAnsi="宋体" w:eastAsia="宋体" w:cs="Times New Roman"/>
          <w:b/>
          <w:bCs/>
          <w:sz w:val="24"/>
          <w:szCs w:val="22"/>
          <w:highlight w:val="none"/>
        </w:rPr>
        <w:t xml:space="preserve">人民币60</w:t>
      </w:r>
      <w:r>
        <w:rPr>
          <w:rFonts w:hint="eastAsia" w:ascii="宋体" w:hAnsi="宋体" w:eastAsia="宋体" w:cs="Times New Roman"/>
          <w:b/>
          <w:bCs/>
          <w:color w:val="000000"/>
          <w:sz w:val="24"/>
          <w:szCs w:val="22"/>
          <w:highlight w:val="none"/>
        </w:rPr>
        <w:t xml:space="preserve">万元</w:t>
      </w:r>
      <w:r/>
    </w:p>
    <w:p>
      <w:pPr>
        <w:ind w:firstLine="480"/>
        <w:jc w:val="left"/>
        <w:spacing w:line="360" w:lineRule="auto"/>
        <w:rPr>
          <w:rFonts w:hint="eastAsia" w:ascii="宋体" w:hAnsi="宋体" w:eastAsia="宋体" w:cs="Times New Roman"/>
          <w:b/>
          <w:bCs/>
          <w:sz w:val="24"/>
          <w:szCs w:val="22"/>
          <w:highlight w:val="none"/>
        </w:rPr>
      </w:pPr>
      <w:r>
        <w:rPr>
          <w:rFonts w:hint="eastAsia" w:ascii="Calibri" w:hAnsi="Calibri" w:eastAsia="宋体" w:cs="Times New Roman"/>
          <w:sz w:val="24"/>
          <w:szCs w:val="24"/>
          <w:highlight w:val="none"/>
        </w:rPr>
        <w:t xml:space="preserve">最高限价：</w:t>
      </w:r>
      <w:r>
        <w:rPr>
          <w:rFonts w:hint="eastAsia" w:ascii="宋体" w:hAnsi="宋体" w:eastAsia="宋体" w:cs="Times New Roman"/>
          <w:b/>
          <w:bCs/>
          <w:sz w:val="24"/>
          <w:szCs w:val="22"/>
          <w:highlight w:val="none"/>
        </w:rPr>
        <w:t xml:space="preserve">人民币60</w:t>
      </w:r>
      <w:r>
        <w:rPr>
          <w:rFonts w:hint="eastAsia" w:ascii="宋体" w:hAnsi="宋体" w:eastAsia="宋体" w:cs="Times New Roman"/>
          <w:b/>
          <w:bCs/>
          <w:color w:val="000000"/>
          <w:sz w:val="24"/>
          <w:szCs w:val="22"/>
          <w:highlight w:val="none"/>
        </w:rPr>
        <w:t xml:space="preserve">万元</w:t>
      </w:r>
      <w:r>
        <w:rPr>
          <w:rFonts w:hint="eastAsia" w:ascii="宋体" w:hAnsi="宋体" w:eastAsia="宋体" w:cs="Times New Roman"/>
          <w:b/>
          <w:bCs/>
          <w:sz w:val="24"/>
          <w:szCs w:val="22"/>
          <w:highlight w:val="none"/>
        </w:rPr>
        <w:t xml:space="preserve">，投标报价超过最高限价的投标无效。</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采购方式：竞争性磋商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采购需求：为确保灌云县内省控点位优化调整工作顺利进行，需开展灌云监测站省控大气站点移站比对监测服务项目采购，主要内容为新点位选址技术论证工作、开展空气质量监测比对工作、更新站房并将旧站点仪器及辅助设备搬迁至新点位；详见文件内采购需求。</w:t>
      </w:r>
      <w:r/>
    </w:p>
    <w:p>
      <w:pPr>
        <w:ind w:firstLine="482"/>
        <w:jc w:val="left"/>
        <w:spacing w:line="360" w:lineRule="auto"/>
        <w:rPr>
          <w:rFonts w:ascii="Calibri" w:hAnsi="Calibri" w:eastAsia="宋体" w:cs="Times New Roman"/>
          <w:b/>
          <w:sz w:val="24"/>
          <w:szCs w:val="24"/>
          <w:highlight w:val="none"/>
        </w:rPr>
      </w:pPr>
      <w:r>
        <w:rPr>
          <w:rFonts w:hint="eastAsia" w:ascii="Calibri" w:hAnsi="Calibri" w:eastAsia="宋体" w:cs="Times New Roman"/>
          <w:b/>
          <w:sz w:val="24"/>
          <w:szCs w:val="24"/>
          <w:highlight w:val="none"/>
        </w:rPr>
        <w:t xml:space="preserve">对本项目资格要求、采购需求、评审方法与评审标准等部分的询问、质疑请与采购人联系，由采购人负责答复。</w:t>
      </w:r>
      <w:r/>
    </w:p>
    <w:p>
      <w:pPr>
        <w:ind w:firstLine="480"/>
        <w:jc w:val="left"/>
        <w:spacing w:line="360" w:lineRule="auto"/>
        <w:rPr>
          <w:rFonts w:ascii="Calibri" w:hAnsi="Calibri" w:eastAsia="宋体" w:cs="Times New Roman"/>
          <w:b/>
          <w:sz w:val="24"/>
          <w:szCs w:val="24"/>
          <w:highlight w:val="none"/>
        </w:rPr>
      </w:pPr>
      <w:r>
        <w:rPr>
          <w:rFonts w:hint="eastAsia" w:ascii="Calibri" w:hAnsi="Calibri" w:eastAsia="宋体" w:cs="Times New Roman"/>
          <w:sz w:val="24"/>
          <w:szCs w:val="24"/>
          <w:highlight w:val="none"/>
        </w:rPr>
        <w:t xml:space="preserve">合同履行期限：</w:t>
      </w:r>
      <w:r>
        <w:rPr>
          <w:rFonts w:hint="eastAsia" w:ascii="Calibri" w:hAnsi="Calibri" w:eastAsia="宋体" w:cs="Times New Roman"/>
          <w:b/>
          <w:sz w:val="24"/>
          <w:szCs w:val="24"/>
          <w:highlight w:val="none"/>
        </w:rPr>
        <w:t xml:space="preserve">自合同签订之日起60日历天内完成。</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本项目（是/否）接受联合体投标：不接受联合体。</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二、申请人的资格要求</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（一）满足《中华人民共和国政府采购法》第二十二条规定，并提供下列材料：</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1.法人或者其他组织的营业执照等证明文件，自然人的身份证明；</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hint="eastAsia" w:ascii="宋体" w:hAnsi="宋体" w:eastAsia="宋体" w:cs="宋体"/>
          <w:sz w:val="24"/>
          <w:szCs w:val="28"/>
          <w:highlight w:val="none"/>
        </w:rPr>
        <w:t xml:space="preserve">具有良好的商业信誉和健全的财务会计制度</w:t>
      </w:r>
      <w:r>
        <w:rPr>
          <w:rFonts w:hint="eastAsia" w:ascii="Calibri" w:hAnsi="Calibri" w:eastAsia="宋体" w:cs="Times New Roman"/>
          <w:sz w:val="24"/>
          <w:szCs w:val="24"/>
          <w:highlight w:val="none"/>
        </w:rPr>
        <w:t xml:space="preserve">；（</w:t>
      </w:r>
      <w:r>
        <w:rPr>
          <w:rFonts w:hint="eastAsia" w:ascii="宋体" w:hAnsi="宋体" w:eastAsia="宋体" w:cs="宋体"/>
          <w:sz w:val="24"/>
          <w:szCs w:val="28"/>
          <w:highlight w:val="none"/>
        </w:rPr>
        <w:t xml:space="preserve">提供《财务状况报告及税收、社会保障资金缴纳情况承诺函》或2023年度或2024年度经审计的财务状况报告，</w:t>
      </w:r>
      <w:r>
        <w:rPr>
          <w:rFonts w:hint="eastAsia" w:ascii="Calibri" w:hAnsi="Calibri" w:eastAsia="宋体" w:cs="Times New Roman"/>
          <w:sz w:val="24"/>
          <w:szCs w:val="24"/>
          <w:highlight w:val="none"/>
        </w:rPr>
        <w:t xml:space="preserve">成立不满一年无需提供）</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3.依法缴纳税收和社会保障资金的相关材料；（</w:t>
      </w:r>
      <w:r>
        <w:rPr>
          <w:rFonts w:hint="eastAsia" w:ascii="宋体" w:hAnsi="宋体" w:eastAsia="宋体" w:cs="宋体"/>
          <w:sz w:val="24"/>
          <w:szCs w:val="28"/>
          <w:highlight w:val="none"/>
        </w:rPr>
        <w:t xml:space="preserve">提供《财务状况报告及税收、社会保障资金缴纳情况承诺函》或</w:t>
      </w:r>
      <w:r>
        <w:rPr>
          <w:rFonts w:hint="eastAsia" w:ascii="Calibri" w:hAnsi="Calibri" w:eastAsia="宋体" w:cs="Times New Roman"/>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4.具备履行合同所必需的设备和专业技术能力的声明及证明材料；</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5.参加政府采购活动前3年内在经营活动中没有重大违法记录的书面声明；</w:t>
      </w:r>
      <w:r/>
    </w:p>
    <w:p>
      <w:pPr>
        <w:ind w:firstLine="482"/>
        <w:jc w:val="left"/>
        <w:spacing w:line="360" w:lineRule="auto"/>
        <w:rPr>
          <w:rFonts w:ascii="Calibri" w:hAnsi="Calibri" w:eastAsia="宋体" w:cs="Times New Roman"/>
          <w:b/>
          <w:bCs/>
          <w:sz w:val="24"/>
          <w:szCs w:val="24"/>
          <w:highlight w:val="none"/>
        </w:rPr>
      </w:pPr>
      <w:r>
        <w:rPr>
          <w:rFonts w:hint="eastAsia" w:ascii="Calibri" w:hAnsi="Calibri" w:eastAsia="宋体" w:cs="Times New Roman"/>
          <w:b/>
          <w:bCs/>
          <w:sz w:val="24"/>
          <w:szCs w:val="24"/>
          <w:highlight w:val="none"/>
        </w:rPr>
        <w:t xml:space="preserve">根据连财购〔2023〕4号文件精神，2、3项可以提供《财务状况报告及税收、社会保障资金缴纳情况承诺函》，详见响应文件格式</w:t>
      </w:r>
      <w:r/>
    </w:p>
    <w:p>
      <w:pPr>
        <w:ind w:firstLine="480"/>
        <w:spacing w:line="360" w:lineRule="auto"/>
        <w:rPr>
          <w:rFonts w:hint="eastAsia" w:ascii="宋体" w:hAnsi="宋体" w:eastAsia="宋体" w:cs="Times New Roman"/>
          <w:sz w:val="24"/>
          <w:szCs w:val="24"/>
          <w:highlight w:val="none"/>
        </w:rPr>
      </w:pPr>
      <w:r>
        <w:rPr>
          <w:rFonts w:hint="eastAsia" w:ascii="Calibri" w:hAnsi="Calibri" w:eastAsia="宋体" w:cs="Times New Roman"/>
          <w:sz w:val="24"/>
          <w:szCs w:val="24"/>
          <w:highlight w:val="none"/>
        </w:rPr>
        <w:t xml:space="preserve">（二）落实政府采购政策需满足的资格要求：</w:t>
      </w:r>
      <w:bookmarkStart w:id="1" w:name="OLE_LINK2"/>
      <w:r>
        <w:rPr>
          <w:rFonts w:hint="eastAsia" w:ascii="宋体" w:hAnsi="宋体" w:eastAsia="宋体" w:cs="宋体"/>
          <w:b/>
          <w:bCs/>
          <w:color w:val="000000"/>
          <w:sz w:val="24"/>
          <w:szCs w:val="22"/>
          <w:highlight w:val="none"/>
        </w:rPr>
        <w:t xml:space="preserve">根据财政部、工业和信息化部关于印发《政府采购促进中小企业发展管理办法》的通知（财库【2020】46号）</w:t>
      </w:r>
      <w:r>
        <w:rPr>
          <w:rFonts w:hint="eastAsia" w:ascii="宋体" w:hAnsi="宋体" w:eastAsia="宋体" w:cs="宋体"/>
          <w:b/>
          <w:bCs/>
          <w:color w:val="000000"/>
          <w:sz w:val="24"/>
          <w:szCs w:val="24"/>
          <w:highlight w:val="none"/>
        </w:rPr>
        <w:t xml:space="preserve">、苏财购[2022]45号</w:t>
      </w:r>
      <w:r>
        <w:rPr>
          <w:rFonts w:hint="eastAsia" w:ascii="宋体" w:hAnsi="宋体" w:eastAsia="宋体" w:cs="宋体"/>
          <w:b/>
          <w:bCs/>
          <w:color w:val="000000"/>
          <w:sz w:val="24"/>
          <w:szCs w:val="22"/>
          <w:highlight w:val="none"/>
        </w:rPr>
        <w:t xml:space="preserve">等相关文件要求，本项目专门面向中型企业、小型企业、微型企业、残疾人福利性单位、监狱企业进行采购。（符合要求的投标人须提供《中小企业声明函》或《残疾人福利性单位声明函》或属于监狱企业的证明文件，否则投标无效）</w:t>
      </w:r>
      <w:bookmarkEnd w:id="1"/>
      <w:r/>
      <w:r/>
    </w:p>
    <w:p>
      <w:pPr>
        <w:ind w:firstLine="480"/>
        <w:jc w:val="left"/>
        <w:spacing w:beforeAutospacing="0" w:afterAutospacing="0" w:line="360" w:lineRule="auto"/>
        <w:widowControl w:val="off"/>
        <w:rPr>
          <w:rFonts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（三）本项目的特定资格要求：无。</w:t>
      </w:r>
      <w:r/>
    </w:p>
    <w:p>
      <w:pPr>
        <w:ind w:firstLine="480"/>
        <w:jc w:val="left"/>
        <w:spacing w:beforeAutospacing="0" w:afterAutospacing="0" w:line="360" w:lineRule="auto"/>
        <w:widowControl w:val="off"/>
        <w:rPr>
          <w:rFonts w:hint="eastAsia" w:ascii="宋体" w:hAnsi="宋体" w:eastAsia="宋体" w:cs="宋体"/>
          <w:sz w:val="24"/>
          <w:szCs w:val="28"/>
          <w:highlight w:val="none"/>
          <w:lang w:val="en-US" w:eastAsia="zh-CN" w:bidi="ar-SA"/>
        </w:rPr>
      </w:pPr>
      <w:r>
        <w:rPr>
          <w:rFonts w:hint="eastAsia" w:ascii="Calibri" w:hAnsi="Calibri" w:eastAsia="宋体" w:cs="Times New Roman"/>
          <w:sz w:val="24"/>
          <w:szCs w:val="24"/>
          <w:highlight w:val="none"/>
          <w:lang w:val="en-US" w:eastAsia="zh-CN" w:bidi="ar-SA"/>
        </w:rPr>
        <w:t xml:space="preserve">（四）</w:t>
      </w:r>
      <w:r>
        <w:rPr>
          <w:rFonts w:hint="eastAsia" w:ascii="宋体" w:hAnsi="宋体" w:eastAsia="宋体" w:cs="宋体"/>
          <w:sz w:val="24"/>
          <w:szCs w:val="28"/>
          <w:highlight w:val="none"/>
          <w:lang w:val="en-US" w:eastAsia="zh-CN" w:bidi="ar-SA"/>
        </w:rPr>
        <w:t xml:space="preserve">本项目的其他资格要求：</w:t>
      </w:r>
      <w:r/>
    </w:p>
    <w:p>
      <w:pPr>
        <w:ind w:firstLine="480"/>
        <w:jc w:val="left"/>
        <w:spacing w:beforeAutospacing="0" w:afterAutospacing="0" w:line="360" w:lineRule="auto"/>
        <w:widowControl w:val="off"/>
        <w:rPr>
          <w:rFonts w:ascii="Calibri" w:hAnsi="Calibri" w:eastAsia="宋体" w:cs="Times New Roman"/>
          <w:sz w:val="24"/>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（1）资格审查现场查询时，被信用中国、中国政府采购网列入失信被执行人、税收违法黑名单、政府采购严重违法失信行为记录名单的供应商，拒绝其参与政府采购活动。</w:t>
      </w:r>
      <w:r/>
    </w:p>
    <w:p>
      <w:pPr>
        <w:ind w:firstLine="480"/>
        <w:jc w:val="left"/>
        <w:spacing w:beforeAutospacing="0" w:afterAutospacing="0" w:line="360" w:lineRule="auto"/>
        <w:widowControl w:val="off"/>
        <w:rPr>
          <w:rFonts w:ascii="Calibri" w:hAnsi="Calibri" w:eastAsia="宋体" w:cs="Times New Roman"/>
          <w:sz w:val="24"/>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备注：采购人或采购代理机构通过信用中国网站（www.creditchina.gov.cn）、中国政府采购网（www.ccgp.gov.cn），对供应商信用记录情况进行查询，查询结果页面打印留存。</w:t>
      </w:r>
      <w:r/>
    </w:p>
    <w:p>
      <w:pPr>
        <w:ind w:firstLine="480"/>
        <w:jc w:val="left"/>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（2）成交后不允许分包或转包。</w:t>
      </w:r>
      <w:r/>
    </w:p>
    <w:p>
      <w:pPr>
        <w:ind w:firstLine="480"/>
        <w:jc w:val="left"/>
        <w:spacing w:beforeAutospacing="0" w:afterAutospacing="0" w:line="360" w:lineRule="auto"/>
        <w:widowControl w:val="off"/>
        <w:rPr>
          <w:rFonts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法律、法规规定的其他条件。（如有，请按要求提供）</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三、获取采购文件</w:t>
      </w:r>
      <w:r/>
    </w:p>
    <w:p>
      <w:pPr>
        <w:ind w:firstLine="482"/>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时间：自文件发布之日起至2025年</w:t>
      </w:r>
      <w:r>
        <w:rPr>
          <w:rFonts w:hint="eastAsia" w:ascii="Calibri" w:hAnsi="Calibri" w:eastAsia="宋体" w:cs="Times New Roman"/>
          <w:sz w:val="24"/>
          <w:szCs w:val="24"/>
          <w:highlight w:val="none"/>
          <w:lang w:val="en-US" w:eastAsia="zh-CN"/>
        </w:rPr>
        <w:t xml:space="preserve">11</w:t>
      </w:r>
      <w:r>
        <w:rPr>
          <w:rFonts w:hint="eastAsia" w:ascii="Calibri" w:hAnsi="Calibri" w:eastAsia="宋体" w:cs="Times New Roman"/>
          <w:sz w:val="24"/>
          <w:szCs w:val="24"/>
          <w:highlight w:val="none"/>
        </w:rPr>
        <w:t xml:space="preserve">月</w:t>
      </w:r>
      <w:r>
        <w:rPr>
          <w:rFonts w:hint="eastAsia" w:ascii="Calibri" w:hAnsi="Calibri" w:eastAsia="宋体" w:cs="Times New Roman"/>
          <w:sz w:val="24"/>
          <w:szCs w:val="24"/>
          <w:highlight w:val="none"/>
          <w:lang w:val="en-US" w:eastAsia="zh-CN"/>
        </w:rPr>
        <w:t xml:space="preserve">17</w:t>
      </w:r>
      <w:r>
        <w:rPr>
          <w:rFonts w:hint="eastAsia" w:ascii="Calibri" w:hAnsi="Calibri" w:eastAsia="宋体" w:cs="Times New Roman"/>
          <w:sz w:val="24"/>
          <w:szCs w:val="24"/>
          <w:highlight w:val="none"/>
        </w:rPr>
        <w:t xml:space="preserve">日</w:t>
      </w:r>
      <w:r>
        <w:rPr>
          <w:rFonts w:hint="eastAsia" w:ascii="宋体" w:hAnsi="宋体" w:eastAsia="宋体" w:cs="宋体"/>
          <w:color w:val="000000"/>
          <w:sz w:val="24"/>
          <w:szCs w:val="24"/>
          <w:highlight w:val="none"/>
          <w:shd w:val="clear" w:color="auto" w:fill="ffffff"/>
        </w:rPr>
        <w:t xml:space="preserve">23时59分止</w:t>
      </w:r>
      <w:r/>
    </w:p>
    <w:p>
      <w:pPr>
        <w:ind w:firstLine="482"/>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地点：江苏政府采购网</w:t>
      </w:r>
      <w:r/>
    </w:p>
    <w:p>
      <w:pPr>
        <w:ind w:firstLine="482"/>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方式：</w:t>
      </w:r>
      <w:r>
        <w:rPr>
          <w:rFonts w:hint="eastAsia" w:ascii="宋体" w:hAnsi="宋体" w:eastAsia="宋体" w:cs="宋体"/>
          <w:color w:val="000000"/>
          <w:sz w:val="24"/>
          <w:szCs w:val="24"/>
          <w:highlight w:val="none"/>
        </w:rPr>
        <w:t xml:space="preserve">在“江苏政府采购网”（“苏采云系统”http://jszfcg.jsczt.cn/）自行免费下载磋商文件</w:t>
      </w:r>
      <w:r>
        <w:rPr>
          <w:rFonts w:hint="eastAsia" w:ascii="Calibri" w:hAnsi="Calibri" w:eastAsia="宋体" w:cs="Times New Roman"/>
          <w:sz w:val="24"/>
          <w:szCs w:val="24"/>
          <w:highlight w:val="none"/>
        </w:rPr>
        <w:t xml:space="preserve">。</w:t>
      </w:r>
      <w:r/>
    </w:p>
    <w:p>
      <w:pPr>
        <w:ind w:firstLine="482"/>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售价：0.00元</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四、提交响应文件截止时间、开启时间和地点</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提交响应文件截止时间：2025年</w:t>
      </w:r>
      <w:r>
        <w:rPr>
          <w:rFonts w:hint="eastAsia" w:ascii="Calibri" w:hAnsi="Calibri" w:eastAsia="宋体" w:cs="Times New Roman"/>
          <w:sz w:val="24"/>
          <w:szCs w:val="24"/>
          <w:highlight w:val="none"/>
          <w:lang w:val="en-US" w:eastAsia="zh-CN"/>
        </w:rPr>
        <w:t xml:space="preserve">11</w:t>
      </w:r>
      <w:r>
        <w:rPr>
          <w:rFonts w:hint="eastAsia" w:ascii="Calibri" w:hAnsi="Calibri" w:eastAsia="宋体" w:cs="Times New Roman"/>
          <w:sz w:val="24"/>
          <w:szCs w:val="24"/>
          <w:highlight w:val="none"/>
        </w:rPr>
        <w:t xml:space="preserve">月</w:t>
      </w:r>
      <w:r>
        <w:rPr>
          <w:rFonts w:hint="eastAsia" w:ascii="Calibri" w:hAnsi="Calibri" w:eastAsia="宋体" w:cs="Times New Roman"/>
          <w:sz w:val="24"/>
          <w:szCs w:val="24"/>
          <w:highlight w:val="none"/>
          <w:lang w:val="en-US" w:eastAsia="zh-CN"/>
        </w:rPr>
        <w:t xml:space="preserve">21</w:t>
      </w:r>
      <w:r>
        <w:rPr>
          <w:rFonts w:hint="eastAsia" w:ascii="Calibri" w:hAnsi="Calibri" w:eastAsia="宋体" w:cs="Times New Roman"/>
          <w:sz w:val="24"/>
          <w:szCs w:val="24"/>
          <w:highlight w:val="none"/>
        </w:rPr>
        <w:t xml:space="preserve">日10:00:00（北京时间）</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开启时间：2025年</w:t>
      </w:r>
      <w:r>
        <w:rPr>
          <w:rFonts w:hint="eastAsia" w:ascii="Calibri" w:hAnsi="Calibri" w:eastAsia="宋体" w:cs="Times New Roman"/>
          <w:sz w:val="24"/>
          <w:szCs w:val="24"/>
          <w:highlight w:val="none"/>
          <w:lang w:val="en-US" w:eastAsia="zh-CN"/>
        </w:rPr>
        <w:t xml:space="preserve">11</w:t>
      </w:r>
      <w:r>
        <w:rPr>
          <w:rFonts w:hint="eastAsia" w:ascii="Calibri" w:hAnsi="Calibri" w:eastAsia="宋体" w:cs="Times New Roman"/>
          <w:sz w:val="24"/>
          <w:szCs w:val="24"/>
          <w:highlight w:val="none"/>
        </w:rPr>
        <w:t xml:space="preserve">月</w:t>
      </w:r>
      <w:r>
        <w:rPr>
          <w:rFonts w:hint="eastAsia" w:ascii="Calibri" w:hAnsi="Calibri" w:eastAsia="宋体" w:cs="Times New Roman"/>
          <w:sz w:val="24"/>
          <w:szCs w:val="24"/>
          <w:highlight w:val="none"/>
          <w:lang w:val="en-US" w:eastAsia="zh-CN"/>
        </w:rPr>
        <w:t xml:space="preserve">21</w:t>
      </w:r>
      <w:r>
        <w:rPr>
          <w:rFonts w:hint="eastAsia" w:ascii="Calibri" w:hAnsi="Calibri" w:eastAsia="宋体" w:cs="Times New Roman"/>
          <w:sz w:val="24"/>
          <w:szCs w:val="24"/>
          <w:highlight w:val="none"/>
        </w:rPr>
        <w:t xml:space="preserve">日10:00:00（北京时间）</w:t>
      </w:r>
      <w:r/>
    </w:p>
    <w:p>
      <w:pPr>
        <w:ind w:firstLine="480"/>
        <w:jc w:val="left"/>
        <w:spacing w:line="360" w:lineRule="auto"/>
        <w:rPr>
          <w:rFonts w:ascii="Calibri" w:hAnsi="Calibri" w:eastAsia="宋体" w:cs="Times New Roman"/>
          <w:szCs w:val="22"/>
          <w:highlight w:val="none"/>
        </w:rPr>
      </w:pPr>
      <w:r>
        <w:rPr>
          <w:rFonts w:hint="eastAsia" w:ascii="Calibri" w:hAnsi="Calibri" w:eastAsia="宋体" w:cs="Times New Roman"/>
          <w:sz w:val="24"/>
          <w:szCs w:val="24"/>
          <w:highlight w:val="none"/>
        </w:rPr>
        <w:t xml:space="preserve">开启地点：“苏采云”政府采购交易系统网上开标大厅</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五、公告期限</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自本公告发布之日起3个工作日。</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六、其他补充事宜</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1.本次磋商采购不收取磋商保证金。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2.本磋商文件中</w:t>
      </w:r>
      <w:r>
        <w:rPr>
          <w:rFonts w:hint="eastAsia" w:ascii="Calibri" w:hAnsi="Calibri" w:eastAsia="宋体" w:cs="Times New Roman"/>
          <w:i/>
          <w:iCs/>
          <w:color w:val="ff0000"/>
          <w:sz w:val="24"/>
          <w:szCs w:val="24"/>
          <w:highlight w:val="none"/>
          <w:u w:val="single"/>
        </w:rPr>
        <w:t xml:space="preserve">斜体且有下划线</w:t>
      </w:r>
      <w:r>
        <w:rPr>
          <w:rFonts w:hint="eastAsia" w:ascii="Calibri" w:hAnsi="Calibri" w:eastAsia="宋体" w:cs="Times New Roman"/>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http://www.ccgp-jiangsu.gov.cn/jiangsu/zlxz/ee/ee3a4bc5a3454aa2b0d9312230633ce9.html</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七、对本次采购提出询问，请按以下方式联系</w:t>
      </w:r>
      <w:r/>
    </w:p>
    <w:p>
      <w:pPr>
        <w:ind w:firstLine="482"/>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1.采购人信息</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称：连云港市灌云生态环境局</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址：灌云县伊山镇胜利中路707号</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bCs/>
          <w:sz w:val="24"/>
          <w:szCs w:val="24"/>
          <w:highlight w:val="none"/>
        </w:rPr>
        <w:t xml:space="preserve">19599952952</w:t>
      </w:r>
      <w:r/>
    </w:p>
    <w:p>
      <w:pPr>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称：江苏正大建设项目管理有限公司</w:t>
      </w:r>
      <w:r/>
    </w:p>
    <w:p>
      <w:pPr>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8"/>
          <w:highlight w:val="none"/>
        </w:rPr>
        <w:t xml:space="preserve">连云港市海州区郁洲南路博大新城商务大厦19楼</w:t>
      </w:r>
      <w:r/>
    </w:p>
    <w:p>
      <w:pPr>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联系方式：徐工</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联系电话：15366665269</w:t>
      </w:r>
      <w:r/>
    </w:p>
    <w:p>
      <w:pPr>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2"/>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项目联系人：孙主任</w:t>
      </w:r>
      <w:r/>
    </w:p>
    <w:p>
      <w:pPr>
        <w:ind w:firstLine="482"/>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    话：19599952952</w:t>
      </w:r>
      <w:r/>
    </w:p>
    <w:p>
      <w:pPr>
        <w:jc w:val="left"/>
        <w:widowControl/>
        <w:rPr>
          <w:rFonts w:hint="eastAsia" w:ascii="黑体" w:hAnsi="黑体" w:eastAsia="黑体" w:cs="Times New Roman"/>
          <w:bCs/>
          <w:sz w:val="44"/>
          <w:szCs w:val="44"/>
          <w:highlight w:val="none"/>
        </w:rPr>
      </w:pPr>
      <w:r>
        <w:rPr>
          <w:rFonts w:ascii="黑体" w:hAnsi="黑体" w:eastAsia="黑体" w:cs="Times New Roman"/>
          <w:b/>
          <w:szCs w:val="22"/>
          <w:highlight w:val="none"/>
        </w:rPr>
        <w:br w:type="page" w:clear="all"/>
      </w:r>
      <w:r/>
    </w:p>
    <w:p>
      <w:pPr>
        <w:jc w:val="center"/>
        <w:keepLines/>
        <w:keepNext/>
        <w:spacing w:before="156" w:after="156" w:line="360" w:lineRule="auto"/>
        <w:widowControl w:val="off"/>
        <w:rPr>
          <w:rFonts w:hint="eastAsia" w:ascii="黑体" w:hAnsi="黑体" w:eastAsia="黑体" w:cs="Times New Roman"/>
          <w:b w:val="0"/>
          <w:bCs/>
          <w:sz w:val="44"/>
          <w:szCs w:val="44"/>
          <w:highlight w:val="none"/>
          <w:lang w:val="en-US" w:eastAsia="zh-CN" w:bidi="ar-SA"/>
        </w:rPr>
        <w:outlineLvl w:val="0"/>
      </w:pPr>
      <w:r/>
      <w:bookmarkStart w:id="2" w:name="_Toc27266"/>
      <w:r>
        <w:rPr>
          <w:rFonts w:hint="eastAsia" w:ascii="黑体" w:hAnsi="黑体" w:eastAsia="黑体" w:cs="Times New Roman"/>
          <w:b w:val="0"/>
          <w:bCs/>
          <w:sz w:val="44"/>
          <w:szCs w:val="44"/>
          <w:highlight w:val="none"/>
          <w:lang w:val="en-US" w:eastAsia="zh-CN" w:bidi="ar-SA"/>
        </w:rPr>
        <w:t xml:space="preserve">第二章  供应商须知</w:t>
      </w:r>
      <w:bookmarkEnd w:id="2"/>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一、总则</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1、采购方式</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1.1 本次政府采购活动采取竞争性磋商（以下简称磋商）方式，本磋商文件仅适用于磋商公告中所述项目。</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2、合格的供应商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2.1 满足磋商公告中申请人的资格要求的规定。</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2.3 满足本磋商文件全部实质性要求和条件的规定。</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2.4 符合上述条件的供应商应承担参与磋商采购及履约过程应承担的全部责任与义务。</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3、适用法律</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3.1 本次磋商采购及由此产生的合同受中华人民共和国有关的法律法规制约和保护。</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4、磋商费用</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4.1 供应商应自行承担所有与参与磋商采购活动有关的费用，无论磋商采购过程中的做法和结果如何，采购人和江苏正大建设项目管理有限公司（以下简称代理机构）在任何情况下均无义务和责任承担这些费用。</w:t>
      </w:r>
      <w:r/>
    </w:p>
    <w:p>
      <w:pPr>
        <w:ind w:firstLine="480"/>
        <w:jc w:val="left"/>
        <w:spacing w:line="360" w:lineRule="auto"/>
        <w:tabs>
          <w:tab w:val="left" w:pos="900" w:leader="none"/>
        </w:tabs>
        <w:rPr>
          <w:rFonts w:ascii="Calibri" w:hAnsi="Calibri" w:eastAsia="宋体" w:cs="Times New Roman"/>
          <w:sz w:val="24"/>
          <w:szCs w:val="24"/>
          <w:highlight w:val="none"/>
        </w:rPr>
      </w:pPr>
      <w:r>
        <w:rPr>
          <w:rFonts w:hint="eastAsia" w:ascii="Calibri" w:hAnsi="Calibri" w:eastAsia="宋体" w:cs="Times New Roman"/>
          <w:b/>
          <w:bCs/>
          <w:sz w:val="24"/>
          <w:szCs w:val="24"/>
          <w:highlight w:val="none"/>
        </w:rPr>
        <w:t xml:space="preserve">4.2 </w:t>
      </w:r>
      <w:r>
        <w:rPr>
          <w:rFonts w:ascii="宋体" w:hAnsi="宋体" w:eastAsia="宋体" w:cs="Times New Roman"/>
          <w:b/>
          <w:bCs/>
          <w:sz w:val="24"/>
          <w:szCs w:val="22"/>
          <w:highlight w:val="none"/>
        </w:rPr>
        <w:t xml:space="preserve">本项目的</w:t>
      </w:r>
      <w:r>
        <w:rPr>
          <w:rFonts w:hint="eastAsia" w:ascii="宋体" w:hAnsi="宋体" w:eastAsia="宋体" w:cs="Times New Roman"/>
          <w:b/>
          <w:bCs/>
          <w:sz w:val="24"/>
          <w:szCs w:val="22"/>
          <w:highlight w:val="none"/>
        </w:rPr>
        <w:t xml:space="preserve">招标代理服务费根据《关于江苏省招标代理服务收费的指导意见》（苏招协【2022】002号)标准的80%计取</w:t>
      </w:r>
      <w:r>
        <w:rPr>
          <w:rFonts w:hint="eastAsia" w:ascii="Calibri" w:hAnsi="Calibri" w:eastAsia="宋体" w:cs="Times New Roman"/>
          <w:b/>
          <w:bCs/>
          <w:sz w:val="24"/>
          <w:szCs w:val="24"/>
          <w:highlight w:val="none"/>
        </w:rPr>
        <w:t xml:space="preserve">，</w:t>
      </w:r>
      <w:r>
        <w:rPr>
          <w:rFonts w:hint="eastAsia" w:ascii="Calibri" w:hAnsi="Calibri" w:eastAsia="宋体" w:cs="Times New Roman"/>
          <w:b/>
          <w:bCs/>
          <w:sz w:val="24"/>
          <w:szCs w:val="22"/>
          <w:highlight w:val="none"/>
        </w:rPr>
        <w:t xml:space="preserve">由成交人支付，支付方式：电汇，网银，现金，</w:t>
      </w:r>
      <w:r>
        <w:rPr>
          <w:rFonts w:hint="eastAsia" w:ascii="宋体" w:hAnsi="宋体" w:eastAsia="宋体" w:cs="宋体"/>
          <w:b/>
          <w:bCs/>
          <w:sz w:val="24"/>
          <w:szCs w:val="22"/>
          <w:highlight w:val="none"/>
        </w:rPr>
        <w:t xml:space="preserve">该费用不单独计列，综合考虑计入响应文件报价中</w:t>
      </w:r>
      <w:r>
        <w:rPr>
          <w:rFonts w:hint="eastAsia" w:ascii="Calibri" w:hAnsi="Calibri" w:eastAsia="宋体" w:cs="Times New Roman"/>
          <w:b/>
          <w:bCs/>
          <w:sz w:val="24"/>
          <w:szCs w:val="22"/>
          <w:highlight w:val="none"/>
        </w:rPr>
        <w:t xml:space="preserve">。</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5、磋商文件的约束力</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5.1 供应商一旦参与本项目采购活动，即被认为接受了本磋商文件的规定和约束。</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二、磋商文件</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6、磋商文件的构成</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6.1 磋商文件由以下部分构成：</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（1）磋商公告</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（2）供应商须知</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（3）合同文本</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（4）采购需求</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（5）评审方法与评审标准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（6）响应文件格式</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请仔细检查磋商文件是否齐全，如有缺漏请立即与代理机构联系解决。</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7、磋商文件的澄清</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7.1 任何要求对磋商文件进行澄清的供应商，应在提交响应文件截止时间五日前按磋商公告中的通讯地址，以书面形式通知采购人或者代理机构。</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8、磋商文件的修改</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8.1 在响应文件提交截止时间前，采购人和代理机构可以对磋商文件进行修改。</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8.2 采购人和代理机构有权按照法定的要求推迟提交响应文件截止时间和开启时间。</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8.3 磋商文件的修改将在江苏政府采购网公布，补充文件将作为磋商文件的组成部分，并对供应商具有约束力。</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三、响应文件编制</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9、响应文件编写注意事项</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10、响应文件的语言及度量衡单位</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10.2 除技术性能另有规定外，响应文件所使用的度量衡单位，均须采用国家法定计量单位。</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11、响应文件的构成</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11.2 如响应文件制作工具中格式和内容与江苏政府采购网发布的磋商文件不一致，请以江苏政府采购网发布的磋商文件为准。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11.3 特别提醒供应商，混乱的编排导致响应文件被误读或竞争性磋商小组（以下简称磋商小组）查找不到有效文件是供应商的风险。</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12、证明供应商及响应标的符合磋商文件规定的文件</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12.1 供应商应按照磋商文件要求提交证明文件，证明其及响应标的符合磋商文件规定。</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12.2 磋商文件对证明文件无明确形式要求的，证明文件可以以文字资料、图纸和数据等形式提交。</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12.3 供应商委托代理时应当提交授权委托书，请按磋商文件第六章给定格式及要求填写并附法定代表人（单位负责人）与委托代理人身份证明。</w:t>
      </w:r>
      <w:r/>
    </w:p>
    <w:p>
      <w:pPr>
        <w:ind w:firstLine="562"/>
        <w:jc w:val="left"/>
        <w:keepLines/>
        <w:keepNext/>
        <w:spacing w:before="0" w:after="0" w:line="360" w:lineRule="auto"/>
        <w:widowControl w:val="off"/>
        <w:rPr>
          <w:rFonts w:ascii="Calibri" w:hAnsi="Calibri" w:eastAsia="宋体" w:cs="Times New Roman"/>
          <w:b/>
          <w:bCs/>
          <w:sz w:val="32"/>
          <w:szCs w:val="32"/>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13、分项报价表</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13.1 供应商应根据响应报价要求在分项报价表中列明各项单价、总价等，未全部列示的作无效响应处理。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13.2 响应文件中的单价和总价无特殊规定的采用人民币报价，以元为单位标注。磋商文件中另有规定的按规定执行。</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14、技术要求响应及偏离表、商务要求响应及偏离表</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14.2 供应商可在响应文件中提供认为需要的其他技术文件或说明。</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15、服务承诺、培训计划、人员安排及其他</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15.2 供应商应根据磋商文件要求提供培训计划、人员安排等。</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15.3 供应商应根据磋商文件要求提供响应标的的主要组成部分、功能设计、实现思路及关键技术等。</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16、磋商响应函</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16.1 供应商应按照磋商文件提供的格式完整、正确填写磋商响应函。</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17、磋商有效期</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17.1 磋商有效期为磋商文件规定的开启之日后六十（60）天。磋商有效期比规定短的将被视为未实质性响应磋商文件而予以拒绝。</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17.2 在特殊情况下，采购人于原磋商有效期满之前，可向供应商提出延长磋商有效期的要求。这种要求与答复均应采用书面形式。供应商可以拒绝采购人的这一要求而放弃磋商响应，同意延长磋商有效期的供应商既不能要求也不允许修改其响应文件。受磋商有效期约束的所有权利与义务均延长至新的有效期。</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四、响应文件提交</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18、电子响应文件的提交</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18.1 供应商应当按照《操作手册》规定，在响应文件提交截止时间前制作并提交（上传）电子响应文件。</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19、提交响应文件截止时间</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19.1 供应商提交（上传）电子响应文件的时间不得迟于磋商公告中规定的截止时间。</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20、响应文件的拒收</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20.1 采购人、代理机构拒绝接收在磋商文件规定的截止时间后提交（上传）的任何响应文件。</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21、响应文件的撤回和修改</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21.3 在提交（上传）响应文件截止时间至磋商文件规定的磋商有效期满之间的这段时间内，供应商不得撤回其电子响应文件。</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五、响应文件开启（解密）与评审</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22、响应文件开启（解密）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22.1 代理机构将在磋商公告中规定的时间和地点组织响应文件开启。供应商应当按时参加，并在“苏采云”系统规定的时间内对其电子响应文件进行解密。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22.2 供应商在开启（解密）过程中涉及到的响应文件解密、开启结果确认等工作，应当按照《操作手册》规定执行。</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22.5 供应商未参加开启（解密）的，视同认可开启（解密）结果。</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2</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6</w:t>
      </w:r>
      <w:r>
        <w:rPr>
          <w:rFonts w:hint="eastAsia" w:ascii="Calibri" w:hAnsi="Calibri" w:eastAsia="宋体" w:cs="Times New Roman"/>
          <w:sz w:val="24"/>
          <w:szCs w:val="24"/>
          <w:highlight w:val="none"/>
        </w:rPr>
        <w:t xml:space="preserve"> 供应商在开启（解密）、澄清、磋商、最后报价、评审全过程中应保持通讯畅通，及时登录“苏采云”系统查阅、答复相关信息，并安排专人与代理机构及磋商小组联系。</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23、磋商小组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23.1 响应文件开启（解密）后，代理机构将组织磋商小组进行评审。</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23.2 磋商小组由采购人代表和有关技术、经济等方面的评审专家组成，且人员构成符合政府采购有关规定。</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23.3 磋商小组按照磋商文件规定的评审程序、评审方法和评审标准进行独立评审并确定成交候选人。</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24、评审过程的保密与公正</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24.1 凡是与审查、澄清、评价和比较有关的资料以及成交建议等，采购人、评审专家、代理机构均不得向供应商或与评审无关的其他人员透露。</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24.2 在评审过程中，供应商不得以任何行为影响评审过程，否则其响应文件将被作为无效响应文件。</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24.3 代理机构和磋商小组不向未成交的供应商解释未成交原因，也不公布评审过程中的相关细节。</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25、响应文件的澄清</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磋商小组并非对每个供应商都提出澄清、说明或者补正要求。</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25.3 接到磋商小组澄清、说明或者补正要求的供应商如未按要求响应，其风险由供应商自行承担。</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26、对响应文件的审查</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26.1 响应文件审查分为资格审查和符合性审查。</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rFonts w:ascii="Calibri" w:hAnsi="Calibri" w:eastAsia="宋体" w:cs="Times New Roman"/>
          <w:b/>
          <w:bCs/>
          <w:sz w:val="24"/>
          <w:szCs w:val="24"/>
          <w:highlight w:val="none"/>
        </w:rPr>
      </w:pPr>
      <w:r>
        <w:rPr>
          <w:rFonts w:hint="eastAsia" w:ascii="Calibri" w:hAnsi="Calibri" w:eastAsia="宋体" w:cs="Times New Roman"/>
          <w:b/>
          <w:bCs/>
          <w:sz w:val="24"/>
          <w:szCs w:val="24"/>
          <w:highlight w:val="none"/>
        </w:rPr>
        <w:t xml:space="preserve">政府采购异常低价审查：</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（一）评审过程中出现下列情形之一的，评审委员会应当启动异常低价投标（响应）审查程序：</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1.投标（响应）报价低于采购项目预算50%的，即投标（响应）报价&lt;采购项目预算×50%；</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2.投标（响应）报价低于采购项目最高限价45%的，即投标（响应）报价&lt;采购项目最高限价×45%；</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3.评审委员会认定的供应商报价过低、有可能影响产品质量或者不能诚信履约的其他情形。</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评委会将通过“苏采云”系统要求其在合理的时间内提供书面说明、证明材料。供应商可在投标（响应）文件中提供项目具体成本测算等与报价合理性相关的书面说明及相关证明材料，对投标（响应）价格作出解释，便于评审。</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未通过资格审查或符合性审查的供应商，将通过“苏采云”系统中告知其未通过的原因，评审结束后，将不再告知。</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26.3 如果响应文件实质上没有响应磋商文件的要求，磋商小组将予以拒绝，供应商不得通过修改或撤销不符合要求的偏离或保留而使其成为实质性响应。</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26.4 磋商小组将对确定为实质性响应的投标进行进一步审核，看其是否有计算上或累加上的算术错误，修正错误的原则如下：</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（1）投标文件中开标一览表内容与投标文件中相应内容不一致的，以开标一览表为准。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（2）大写金额和小写金额不一致的，以大写金额为准。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（3）单价金额小数点或者百分比有明显错位的，以开标一览表的总价为准，并修改单价。</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（4）总价金额与按单价汇总金额不一致的，以单价金额计算结果为准。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同时出现两种以上错误的，按照前款规定的顺序修正。</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26.5 磋商小组将按上述修正错误的方法调整投标文件中的投标报价，并通过“苏采云”系统告知投标人，调整后的价格对投标人具有约束力。如果投标人不接受修正后的价格，则其投标将被拒绝。</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27、磋商程序</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27.1 对于通过资格审查和符合性审查的供应商，磋商小组将集中与单一供应商分别进行磋商。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供应商未在磋商小组规定的时间内在“苏采云”系统中提交最后报价的视为放弃磋商，其响应文件按无效响应处理。</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28、评审方法与评审标准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28.1 评审方法。详见本磋商文件第五章。</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28.2 评审标准。详见本磋商文件第五章。</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29、未实质性响应磋商文件的情形和采购活动终止</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29.1 未实质性响应磋商文件的情形：</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（1）供应商未按照磋商文件要求提交（上传）电子响应文件的。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（2）供应商在“苏采云”系统规定的时间内未成功解密电子响应文件的。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（3）供应商不具备磋商文件中规定的资格要求的。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（5）不符合磋商文件规定的实质性要求和条件的。（本磋商文件中斜体且有下划线部分为实质性要求和条件）</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（7）供应商未通过符合性审查的。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（8）供应商未按照要求对磋商或者最后报价作出响应的。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9</w:t>
      </w:r>
      <w:r>
        <w:rPr>
          <w:rFonts w:hint="eastAsia" w:ascii="Calibri" w:hAnsi="Calibri" w:eastAsia="宋体" w:cs="Times New Roman"/>
          <w:sz w:val="24"/>
          <w:szCs w:val="24"/>
          <w:highlight w:val="none"/>
        </w:rPr>
        <w:t xml:space="preserve">）供应商提交两个（含两个）以上不同的最后报价的。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10</w:t>
      </w:r>
      <w:r>
        <w:rPr>
          <w:rFonts w:hint="eastAsia" w:ascii="Calibri" w:hAnsi="Calibri" w:eastAsia="宋体" w:cs="Times New Roman"/>
          <w:sz w:val="24"/>
          <w:szCs w:val="24"/>
          <w:highlight w:val="none"/>
        </w:rPr>
        <w:t xml:space="preserve">）供应商的最后报价超过了采购预算或者最高限价的。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w:t>
      </w:r>
      <w:r>
        <w:rPr>
          <w:rFonts w:ascii="Calibri" w:hAnsi="Calibri" w:eastAsia="宋体" w:cs="Times New Roman"/>
          <w:sz w:val="24"/>
          <w:szCs w:val="24"/>
          <w:highlight w:val="none"/>
        </w:rPr>
        <w:t xml:space="preserve">1</w:t>
      </w:r>
      <w:r>
        <w:rPr>
          <w:rFonts w:hint="eastAsia" w:ascii="Calibri" w:hAnsi="Calibri" w:eastAsia="宋体" w:cs="Times New Roman"/>
          <w:sz w:val="24"/>
          <w:szCs w:val="24"/>
          <w:highlight w:val="none"/>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w:t>
      </w:r>
      <w:r>
        <w:rPr>
          <w:rFonts w:ascii="Calibri" w:hAnsi="Calibri" w:eastAsia="宋体" w:cs="Times New Roman"/>
          <w:sz w:val="24"/>
          <w:szCs w:val="24"/>
          <w:highlight w:val="none"/>
        </w:rPr>
        <w:t xml:space="preserve">2</w:t>
      </w:r>
      <w:r>
        <w:rPr>
          <w:rFonts w:hint="eastAsia" w:ascii="Calibri" w:hAnsi="Calibri" w:eastAsia="宋体" w:cs="Times New Roman"/>
          <w:sz w:val="24"/>
          <w:szCs w:val="24"/>
          <w:highlight w:val="none"/>
        </w:rPr>
        <w:t xml:space="preserve">）响应文件含有采购人不能接受的附加条件的。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w:t>
      </w: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）响应文件未按照磋商文件要求加盖公章（CA电子公章）的。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w:t>
      </w:r>
      <w:r>
        <w:rPr>
          <w:rFonts w:ascii="Calibri" w:hAnsi="Calibri" w:eastAsia="宋体" w:cs="Times New Roman"/>
          <w:sz w:val="24"/>
          <w:szCs w:val="24"/>
          <w:highlight w:val="none"/>
        </w:rPr>
        <w:t xml:space="preserve">4</w:t>
      </w:r>
      <w:r>
        <w:rPr>
          <w:rFonts w:hint="eastAsia" w:ascii="Calibri" w:hAnsi="Calibri" w:eastAsia="宋体" w:cs="Times New Roman"/>
          <w:sz w:val="24"/>
          <w:szCs w:val="24"/>
          <w:highlight w:val="none"/>
        </w:rPr>
        <w:t xml:space="preserve">）其他法律、法规及本磋商文件规定的属于未实质性响应磋商文件的情形。</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29.2 有下列情形之一的，视为供应商串通，响应无效：</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（1）不同供应商的响应文件由同一单位或者个人编制。</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（2）不同供应商委托同一单位或者个人办理磋商事宜。</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（3）不同供应商的响应文件载明的项目管理成员或者联系人员为同一人。</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（4）不同供应商的响应文件异常一致或者最后报价呈规律性差异。</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（5）不同供应商的响应文件相互混装。</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29.3 采购活动终止的情形：</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（2）磋商小组认定磋商文件存在歧义、重大缺陷导致评审工作无法进行，或者磋商文件内容违反国家有关强制性规定的。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（3）除本磋商文件第二章第27.2条第三款规定的情形外，符合专业条件的供应商或者对磋商文件作实质响应的供应商不足三家的。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（4）出现影响采购公正的违法、违规行为的。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（5）因重大变故，采购任务取消的。</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六、成交</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30、确定成交单位</w:t>
      </w:r>
      <w:r/>
    </w:p>
    <w:p>
      <w:pPr>
        <w:ind w:firstLine="480"/>
        <w:jc w:val="left"/>
        <w:spacing w:line="360" w:lineRule="auto"/>
        <w:tabs>
          <w:tab w:val="left" w:pos="900" w:leader="none"/>
        </w:tabs>
        <w:rPr>
          <w:rFonts w:hint="eastAsia" w:ascii="宋体" w:hAnsi="宋体" w:eastAsia="宋体" w:cs="Times New Roman"/>
          <w:sz w:val="24"/>
          <w:szCs w:val="24"/>
          <w:highlight w:val="none"/>
        </w:rPr>
      </w:pPr>
      <w:r>
        <w:rPr>
          <w:rFonts w:hint="eastAsia" w:ascii="Calibri" w:hAnsi="Calibri" w:eastAsia="宋体" w:cs="Times New Roman"/>
          <w:sz w:val="24"/>
          <w:szCs w:val="24"/>
          <w:highlight w:val="none"/>
        </w:rPr>
        <w:t xml:space="preserve">30.1</w:t>
      </w:r>
      <w:r>
        <w:rPr>
          <w:rFonts w:hint="eastAsia" w:ascii="宋体" w:hAnsi="宋体" w:eastAsia="宋体" w:cs="Times New Roman"/>
          <w:sz w:val="24"/>
          <w:szCs w:val="24"/>
          <w:highlight w:val="none"/>
        </w:rPr>
        <w:t xml:space="preserve">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30.2 </w:t>
      </w:r>
      <w:r>
        <w:rPr>
          <w:rFonts w:hint="eastAsia" w:ascii="宋体" w:hAnsi="宋体" w:eastAsia="宋体" w:cs="Times New Roman"/>
          <w:sz w:val="24"/>
          <w:szCs w:val="24"/>
          <w:highlight w:val="none"/>
        </w:rPr>
        <w:t xml:space="preserve">根据采购人的授权，磋商小组直接确定排名第一的成交候选供应商为成交供应商，采购代理机构将在</w:t>
      </w:r>
      <w:r>
        <w:rPr>
          <w:rFonts w:hint="eastAsia" w:ascii="Calibri" w:hAnsi="Calibri" w:eastAsia="宋体" w:cs="Times New Roman"/>
          <w:sz w:val="24"/>
          <w:szCs w:val="24"/>
          <w:highlight w:val="none"/>
        </w:rPr>
        <w:t xml:space="preserve">江苏政府采购网发布成交结果公告</w:t>
      </w:r>
      <w:r>
        <w:rPr>
          <w:rFonts w:hint="eastAsia" w:ascii="宋体" w:hAnsi="宋体" w:eastAsia="宋体" w:cs="Times New Roman"/>
          <w:sz w:val="24"/>
          <w:szCs w:val="24"/>
          <w:highlight w:val="none"/>
        </w:rPr>
        <w:t xml:space="preserve">，成交公告期限为1个工作日。</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30.3 若有充分证据证明，成交供应商存在下列情形之一的，一经查实，将被取消成交资格：</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（1）提供虚假材料谋取中标、成交的。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（2）采取不正当手段诋毁、排挤其他供应商的。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（3）与采购人、其他供应商或者代理机构恶意串通的。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（4）向采购人、代理机构行贿或者提供其他不正当利益的。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（5）属于本磋商文件规定的无效情形，但在评审过程中又未被磋商小组发现的。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（6）成交后无正当理由拒不与采购人签订政府采购合同或者未按照磋商文件确定的事项签订政府采购合同的。</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（7）将政府采购合同转包的。</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31、成交通知书</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31.3 成交供应商应在成交后七个工作日内，向采购人和代理机构各提供肆份与电子响应文件一致的纸质打印胶装响应文件，封面、骑缝需加盖公章。</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七、授予合同</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32、签订合同</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32.1 成交供应商应当在成交通知书发出之日起三十日内，按照磋商文件和成交供应商响应文件的规定，与采购人签订政府采购合同。</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32.2 磋商文件、成交供应商的响应文件及磋商采购过程中有关澄清、承诺、磋商响应等文件均应作为合同附件。</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32.4采购人</w:t>
      </w:r>
      <w:r>
        <w:rPr>
          <w:rFonts w:ascii="Calibri" w:hAnsi="Calibri" w:eastAsia="宋体" w:cs="Times New Roman"/>
          <w:sz w:val="24"/>
          <w:szCs w:val="24"/>
          <w:highlight w:val="none"/>
        </w:rPr>
        <w:t xml:space="preserve">应当在合同签订后</w:t>
      </w:r>
      <w:r>
        <w:rPr>
          <w:rFonts w:hint="eastAsia" w:ascii="Calibri" w:hAnsi="Calibri" w:eastAsia="宋体" w:cs="Times New Roman"/>
          <w:sz w:val="24"/>
          <w:szCs w:val="24"/>
          <w:highlight w:val="none"/>
        </w:rPr>
        <w:t xml:space="preserve">2日</w:t>
      </w:r>
      <w:r>
        <w:rPr>
          <w:rFonts w:ascii="Calibri" w:hAnsi="Calibri" w:eastAsia="宋体" w:cs="Times New Roman"/>
          <w:sz w:val="24"/>
          <w:szCs w:val="24"/>
          <w:highlight w:val="none"/>
        </w:rPr>
        <w:t xml:space="preserve">内上传合同至苏采云</w:t>
      </w:r>
      <w:r>
        <w:rPr>
          <w:rFonts w:hint="eastAsia" w:ascii="Calibri" w:hAnsi="Calibri" w:eastAsia="宋体" w:cs="Times New Roman"/>
          <w:sz w:val="24"/>
          <w:szCs w:val="24"/>
          <w:highlight w:val="none"/>
        </w:rPr>
        <w:t xml:space="preserve">公示</w:t>
      </w:r>
      <w:r>
        <w:rPr>
          <w:rFonts w:ascii="Calibri" w:hAnsi="Calibri" w:eastAsia="宋体" w:cs="Times New Roman"/>
          <w:sz w:val="24"/>
          <w:szCs w:val="24"/>
          <w:highlight w:val="none"/>
        </w:rPr>
        <w:t xml:space="preserve">。</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32.5履约保证金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32.5.3 履约保证金自合同生效之日起至合同约定的成交供应商主要义务履行完毕止，采购人应当按合同约定及时退还履约保证金。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w:t>
      </w:r>
      <w:r>
        <w:rPr>
          <w:rFonts w:ascii="Calibri" w:hAnsi="Calibri" w:eastAsia="宋体" w:cs="Times New Roman"/>
          <w:sz w:val="24"/>
          <w:szCs w:val="24"/>
          <w:highlight w:val="none"/>
        </w:rPr>
        <w:t xml:space="preserve">2</w:t>
      </w:r>
      <w:r>
        <w:rPr>
          <w:rFonts w:hint="eastAsia" w:ascii="Calibri" w:hAnsi="Calibri" w:eastAsia="宋体" w:cs="Times New Roman"/>
          <w:sz w:val="24"/>
          <w:szCs w:val="24"/>
          <w:highlight w:val="none"/>
        </w:rPr>
        <w:t xml:space="preserve">.5.4 逾期退还履约保证金的采购人承担违约责任，按照中国人民银行同期贷款基准利率向成交供应商支付超期资金占用费。</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32.5.5 本项目履约保证金要求详见招标文件第四章 采购需求。</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33、合同标的的追加</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34、政府采购履约资金扶持政策</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34.1 成交供应商可凭政府采购合同办理融资贷款，详情请见江苏政府采购网“政采贷”专栏。</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八、询问与质疑</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35、询问</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36、质疑提出</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36.1 提出质疑的供应商应当是参与所质疑项目采购活动的供应商。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36.5 质疑函应当使用范本，详见磋商文件第六章。供应商提出质疑应当提交质疑函和必要的证明材料，应当包括下列内容：</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（1）供应商的姓名或者名称、地址、邮编、联系人及联系电话；</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（2）质疑项目的名称、编号；</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（3）具体、明确的质疑事项和与质疑事项相关的请求；</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（4）事实依据；</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（5）必要的法律依据；</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（6）提出质疑的日期；</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（7）必要的证明材料；</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spacing w:before="0" w:after="0" w:line="360" w:lineRule="auto"/>
        <w:widowControl w:val="off"/>
        <w:rPr>
          <w:rFonts w:ascii="Calibri" w:hAnsi="Calibri" w:eastAsia="宋体" w:cs="Times New Roman"/>
          <w:b/>
          <w:bCs/>
          <w:sz w:val="24"/>
          <w:szCs w:val="24"/>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37、质疑函的受理和答复</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37.3 对不符合质疑要求的，采购人、代理机构有权要求其补充必要的证明材料，质疑供应商未在法定时间内补充必要的证明材料的，视同放弃质疑。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37.4 以下情形的质疑依法不予受理：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（1）内容不符合《政府采购质疑和投诉办法》第十二条规定的质疑。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（2）超出政府采购法定期限的质疑。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（3）以传真、电子邮件等方式提交的非原件形式的质疑。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（4）未参与采购活动或在采购活动中自身权益未受到损害的供应商提出的质疑。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（5）供应商组成联合体，联合体中任何一方或多方未按要求签字（盖章）、加盖公章的质疑。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37.5 采购人、代理机构依法受理的质疑，将按照政府采购有关规定，在法定期限内作出答复。</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38、质疑处理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38.1 质疑供应商未按照法定程序进行质疑投诉的，视为一般失信行为。</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38.2 质疑供应商不配合或者采取不正当手段干扰政府采购质疑、投诉处理工作的，视为一般失信行为。</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38.3 质疑供应商投诉受理期间，就同一事项多头举报，干扰财政部门投诉处理的，视为一般失信行为。</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38.4 质疑供应商在全国范围12个月内三次以上质疑查无实据的，视为一般失信行为。</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38.6 质疑供应商在全国范围12个月内三次以上投诉查无实据的，视为严重失信行为。</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38.7 未尽事宜，依照有关法律、法规执行。</w:t>
      </w:r>
      <w:r/>
    </w:p>
    <w:p>
      <w:pPr>
        <w:jc w:val="both"/>
        <w:keepLines/>
        <w:keepNext/>
        <w:spacing w:before="0" w:after="0" w:line="360" w:lineRule="auto"/>
        <w:widowControl w:val="off"/>
        <w:rPr>
          <w:rFonts w:hint="eastAsia"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九、政府采购政策功能</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39、促进中小企业发展</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w:t>
      </w:r>
      <w:r>
        <w:rPr>
          <w:rFonts w:hint="eastAsia" w:ascii="宋体" w:hAnsi="宋体" w:eastAsia="宋体" w:cs="宋体"/>
          <w:sz w:val="24"/>
          <w:szCs w:val="24"/>
          <w:highlight w:val="none"/>
          <w:lang w:bidi="ar"/>
        </w:rPr>
        <w:t xml:space="preserve">苏财购</w:t>
      </w:r>
      <w:r>
        <w:rPr>
          <w:rFonts w:hint="eastAsia" w:ascii="Calibri" w:hAnsi="Calibri" w:eastAsia="宋体" w:cs="Times New Roman"/>
          <w:sz w:val="24"/>
          <w:szCs w:val="24"/>
          <w:highlight w:val="none"/>
        </w:rPr>
        <w:t xml:space="preserve">〔2022〕</w:t>
      </w:r>
      <w:r>
        <w:rPr>
          <w:rFonts w:hint="eastAsia" w:ascii="宋体" w:hAnsi="宋体" w:eastAsia="宋体" w:cs="宋体"/>
          <w:sz w:val="24"/>
          <w:szCs w:val="24"/>
          <w:highlight w:val="none"/>
          <w:lang w:bidi="ar"/>
        </w:rPr>
        <w:t xml:space="preserve">45 号</w:t>
      </w:r>
      <w:r>
        <w:rPr>
          <w:rFonts w:hint="eastAsia" w:ascii="Calibri" w:hAnsi="Calibri" w:eastAsia="宋体" w:cs="Times New Roman"/>
          <w:sz w:val="24"/>
          <w:szCs w:val="24"/>
          <w:highlight w:val="none"/>
        </w:rPr>
        <w:t xml:space="preserve">）的规定，专门面向中型企业、小型企业、微型企业、残疾人福利性单位、监狱企业采购。</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39.2 参加本项目政府采购活动的供应商应当提供的材料： </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（1）供应商为中型企业、小型企业、微型企业的，提供《中小企业声明函》（第六章 响应文件格式）。</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39.3 享受扶持政策获得政府采购合同的，小微型企业不得将合同分包给大中型企业，中型企业不得将合同分包给大型企业。</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40、支持绿色发展</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40.2 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40.3本项目执行《财政部 生态环境部 工业和信息化部关于印发&lt;绿色数据中心政府采购需求标准（试行）&gt;的通知》（财库〔2023〕7号）的相关要求。</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40.4为落实挥发性有机化合物（VOCs）治理要求，本项目采购标的如涉及涂料、胶黏剂、油墨、清洗剂等挥发性有机物产品的，应当执行国家和我省VOCs含量限制标准，并优先使用低挥发性原辅材料。使用低VOCs含量的涂料、胶黏剂等将纳入政府采购合同条款。</w:t>
      </w:r>
      <w:r/>
    </w:p>
    <w:p>
      <w:pPr>
        <w:ind w:firstLine="562"/>
        <w:jc w:val="left"/>
        <w:keepLines/>
        <w:keepNext/>
        <w:spacing w:before="0" w:after="0" w:line="360" w:lineRule="auto"/>
        <w:widowControl w:val="off"/>
        <w:rPr>
          <w:rFonts w:ascii="Calibri" w:hAnsi="Calibri" w:eastAsia="宋体" w:cs="Times New Roman"/>
          <w:b/>
          <w:bCs/>
          <w:sz w:val="28"/>
          <w:szCs w:val="28"/>
          <w:highlight w:val="none"/>
          <w:lang w:val="en-US" w:eastAsia="zh-CN" w:bidi="ar-SA"/>
        </w:rPr>
        <w:outlineLvl w:val="2"/>
      </w:pPr>
      <w:r>
        <w:rPr>
          <w:rFonts w:hint="eastAsia" w:ascii="Calibri" w:hAnsi="Calibri" w:eastAsia="宋体" w:cs="Times New Roman"/>
          <w:b/>
          <w:bCs/>
          <w:sz w:val="28"/>
          <w:szCs w:val="28"/>
          <w:highlight w:val="none"/>
          <w:lang w:val="en-US" w:eastAsia="zh-CN" w:bidi="ar-SA"/>
        </w:rPr>
        <w:t xml:space="preserve">41、政府采购需求标准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41.1 本项目执行《绿色数据中心政府采购需求</w:t>
      </w:r>
      <w:r>
        <w:rPr>
          <w:rFonts w:hint="eastAsia" w:ascii="Calibri" w:hAnsi="Calibri" w:eastAsia="宋体" w:cs="Times New Roman"/>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Calibri" w:hAnsi="Calibri" w:eastAsia="宋体" w:cs="Times New Roman"/>
          <w:sz w:val="24"/>
          <w:szCs w:val="24"/>
          <w:highlight w:val="none"/>
        </w:rPr>
        <w:br w:type="page" w:clear="all"/>
      </w:r>
      <w:r/>
    </w:p>
    <w:p>
      <w:pPr>
        <w:jc w:val="center"/>
        <w:keepLines/>
        <w:keepNext/>
        <w:spacing w:before="156" w:after="156" w:line="360" w:lineRule="auto"/>
        <w:widowControl w:val="off"/>
        <w:rPr>
          <w:rFonts w:hint="eastAsia" w:ascii="黑体" w:hAnsi="黑体" w:eastAsia="黑体" w:cs="Times New Roman"/>
          <w:b w:val="0"/>
          <w:bCs/>
          <w:sz w:val="44"/>
          <w:szCs w:val="44"/>
          <w:highlight w:val="none"/>
          <w:lang w:val="en-US" w:eastAsia="zh-CN" w:bidi="ar-SA"/>
        </w:rPr>
        <w:outlineLvl w:val="0"/>
      </w:pPr>
      <w:r/>
      <w:bookmarkStart w:id="3" w:name="_Toc11883"/>
      <w:r/>
      <w:bookmarkStart w:id="4" w:name="_Toc161932694"/>
      <w:r>
        <w:rPr>
          <w:rFonts w:hint="eastAsia" w:ascii="黑体" w:hAnsi="黑体" w:eastAsia="黑体" w:cs="Times New Roman"/>
          <w:b w:val="0"/>
          <w:bCs/>
          <w:sz w:val="44"/>
          <w:szCs w:val="44"/>
          <w:highlight w:val="none"/>
          <w:lang w:val="en-US" w:eastAsia="zh-CN" w:bidi="ar-SA"/>
        </w:rPr>
        <w:t xml:space="preserve">第三章  合同文本</w:t>
      </w:r>
      <w:bookmarkEnd w:id="3"/>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（备注：以下为成交后签订本项目合同的通用条款，成交供应商不得提出实质性的修改，签订合同时请删除本条备注。）</w:t>
      </w:r>
      <w:r/>
    </w:p>
    <w:p>
      <w:pPr>
        <w:ind w:firstLine="480"/>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auto"/>
        <w:rPr>
          <w:rFonts w:hint="eastAsia" w:ascii="宋体" w:hAnsi="宋体" w:eastAsia="宋体" w:cs="Times New Roman"/>
          <w:bCs/>
          <w:sz w:val="24"/>
          <w:szCs w:val="24"/>
          <w:highlight w:val="none"/>
        </w:rPr>
      </w:pPr>
      <w:r>
        <w:rPr>
          <w:rFonts w:hint="eastAsia" w:ascii="Calibri" w:hAnsi="Calibri" w:eastAsia="宋体" w:cs="Times New Roman"/>
          <w:b/>
          <w:sz w:val="32"/>
          <w:szCs w:val="32"/>
          <w:highlight w:val="none"/>
        </w:rPr>
        <w:t xml:space="preserve">政府采购合同</w:t>
      </w:r>
      <w:r/>
    </w:p>
    <w:p>
      <w:pPr>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甲方：（买方）_________</w:t>
      </w:r>
      <w:r/>
    </w:p>
    <w:p>
      <w:pPr>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乙方：（卖方）_________</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甲、乙双方根据</w:t>
      </w:r>
      <w:r>
        <w:rPr>
          <w:rFonts w:hint="eastAsia" w:ascii="宋体" w:hAnsi="宋体" w:eastAsia="宋体" w:cs="Times New Roman"/>
          <w:color w:val="000000"/>
          <w:sz w:val="24"/>
          <w:szCs w:val="22"/>
          <w:highlight w:val="none"/>
          <w:u w:val="single"/>
        </w:rPr>
        <w:t xml:space="preserve">      </w:t>
      </w:r>
      <w:r>
        <w:rPr>
          <w:rFonts w:hint="eastAsia" w:ascii="宋体" w:hAnsi="宋体" w:eastAsia="宋体" w:cs="Times New Roman"/>
          <w:color w:val="000000"/>
          <w:sz w:val="24"/>
          <w:szCs w:val="22"/>
          <w:highlight w:val="none"/>
        </w:rPr>
        <w:t xml:space="preserve">年</w:t>
      </w:r>
      <w:r>
        <w:rPr>
          <w:rFonts w:hint="eastAsia" w:ascii="宋体" w:hAnsi="宋体" w:eastAsia="宋体" w:cs="Times New Roman"/>
          <w:color w:val="000000"/>
          <w:sz w:val="24"/>
          <w:szCs w:val="22"/>
          <w:highlight w:val="none"/>
          <w:u w:val="single"/>
        </w:rPr>
        <w:t xml:space="preserve">   </w:t>
      </w:r>
      <w:r>
        <w:rPr>
          <w:rFonts w:hint="eastAsia" w:ascii="宋体" w:hAnsi="宋体" w:eastAsia="宋体" w:cs="Times New Roman"/>
          <w:color w:val="000000"/>
          <w:sz w:val="24"/>
          <w:szCs w:val="22"/>
          <w:highlight w:val="none"/>
        </w:rPr>
        <w:t xml:space="preserve">月</w:t>
      </w:r>
      <w:r>
        <w:rPr>
          <w:rFonts w:hint="eastAsia" w:ascii="宋体" w:hAnsi="宋体" w:eastAsia="宋体" w:cs="Times New Roman"/>
          <w:color w:val="000000"/>
          <w:sz w:val="24"/>
          <w:szCs w:val="22"/>
          <w:highlight w:val="none"/>
          <w:u w:val="single"/>
        </w:rPr>
        <w:t xml:space="preserve">   </w:t>
      </w:r>
      <w:r>
        <w:rPr>
          <w:rFonts w:hint="eastAsia" w:ascii="宋体" w:hAnsi="宋体" w:eastAsia="宋体" w:cs="Times New Roman"/>
          <w:color w:val="000000"/>
          <w:sz w:val="24"/>
          <w:szCs w:val="22"/>
          <w:highlight w:val="none"/>
        </w:rPr>
        <w:t xml:space="preserve">日</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）竞争性磋商的结果，签订本合同。</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一、合同内容</w:t>
      </w:r>
      <w:r/>
    </w:p>
    <w:p>
      <w:pPr>
        <w:ind w:firstLine="480"/>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1.1 服务内容：</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w:t>
      </w:r>
      <w:r/>
    </w:p>
    <w:p>
      <w:pPr>
        <w:ind w:firstLine="480"/>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1.2 服务要求：</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1.3 服务标准：</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w:t>
      </w:r>
      <w:r/>
    </w:p>
    <w:p>
      <w:pPr>
        <w:ind w:firstLine="480"/>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1.</w:t>
      </w:r>
      <w:r>
        <w:rPr>
          <w:rFonts w:hint="eastAsia" w:ascii="Calibri" w:hAnsi="Calibri" w:eastAsia="宋体" w:cs="Times New Roman"/>
          <w:sz w:val="24"/>
          <w:szCs w:val="24"/>
          <w:highlight w:val="none"/>
        </w:rPr>
        <w:t xml:space="preserve">4</w:t>
      </w:r>
      <w:r>
        <w:rPr>
          <w:rFonts w:ascii="Calibri" w:hAnsi="Calibri" w:eastAsia="宋体" w:cs="Times New Roman"/>
          <w:sz w:val="24"/>
          <w:szCs w:val="24"/>
          <w:highlight w:val="none"/>
        </w:rPr>
        <w:t xml:space="preserve"> 补充条款：</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二、合同金额</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2.1 本合同金额为人民币（大写）：</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元（¥</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三、技术资料</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3.1 乙方应按竞争性磋商文件规定的时间向甲方提供有关技术资料。</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四、知识产权</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五、产权担保</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5.1 乙方保证所交付标的的所有权完全属于乙方且无任何抵押、查封等产权瑕疵。</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六、履约保证金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6.1 本合同</w:t>
      </w:r>
      <w:r>
        <w:rPr>
          <w:rFonts w:hint="eastAsia" w:ascii="Calibri" w:hAnsi="Calibri" w:eastAsia="宋体" w:cs="Times New Roman"/>
          <w:sz w:val="24"/>
          <w:szCs w:val="24"/>
          <w:highlight w:val="none"/>
          <w:u w:val="single"/>
        </w:rPr>
        <w:t xml:space="preserve">不收取</w:t>
      </w:r>
      <w:r>
        <w:rPr>
          <w:rFonts w:hint="eastAsia" w:ascii="Calibri" w:hAnsi="Calibri" w:eastAsia="宋体" w:cs="Times New Roman"/>
          <w:sz w:val="24"/>
          <w:szCs w:val="24"/>
          <w:highlight w:val="none"/>
        </w:rPr>
        <w:t xml:space="preserve">履约保证金。</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七、合同转包或分包</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7.1 本合同范围内产品或服务，应由乙方直接供应，不得转让他人供应或部分分包给他人供应。</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7.2 如有转让和未经甲方同意的分包行为，甲方有权终止合同。</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八、服务时间</w:t>
      </w:r>
      <w:r/>
    </w:p>
    <w:p>
      <w:pPr>
        <w:ind w:firstLine="480"/>
        <w:jc w:val="left"/>
        <w:spacing w:line="360" w:lineRule="auto"/>
        <w:rPr>
          <w:rFonts w:hint="eastAsia" w:ascii="黑体" w:hAnsi="黑体" w:eastAsia="黑体" w:cs="Times New Roman"/>
          <w:sz w:val="24"/>
          <w:szCs w:val="24"/>
          <w:highlight w:val="none"/>
        </w:rPr>
      </w:pPr>
      <w:r>
        <w:rPr>
          <w:rFonts w:hint="eastAsia" w:ascii="Calibri" w:hAnsi="Calibri" w:eastAsia="宋体" w:cs="Times New Roman"/>
          <w:sz w:val="24"/>
          <w:szCs w:val="24"/>
          <w:highlight w:val="none"/>
        </w:rPr>
        <w:t xml:space="preserve">8.1 服务时间：</w:t>
      </w:r>
      <w:r>
        <w:rPr>
          <w:rFonts w:hint="eastAsia" w:ascii="Calibri" w:hAnsi="Calibri" w:eastAsia="宋体" w:cs="Times New Roman"/>
          <w:sz w:val="24"/>
          <w:szCs w:val="24"/>
          <w:highlight w:val="none"/>
          <w:u w:val="single"/>
        </w:rPr>
        <w:t xml:space="preserve">           </w:t>
      </w:r>
      <w:r>
        <w:rPr>
          <w:rFonts w:hint="eastAsia" w:ascii="黑体" w:hAnsi="黑体" w:eastAsia="黑体" w:cs="Times New Roman"/>
          <w:sz w:val="24"/>
          <w:szCs w:val="24"/>
          <w:highlight w:val="none"/>
          <w:u w:val="single"/>
        </w:rPr>
        <w:t xml:space="preserve"> </w:t>
      </w:r>
      <w:r>
        <w:rPr>
          <w:rFonts w:hint="eastAsia" w:ascii="黑体" w:hAnsi="黑体" w:eastAsia="黑体" w:cs="Times New Roman"/>
          <w:sz w:val="24"/>
          <w:szCs w:val="24"/>
          <w:highlight w:val="none"/>
        </w:rPr>
        <w:t xml:space="preserve">。</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九、合同内容的交付</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9.1 交 付 期：_________。</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9.2 交付方式：_________。</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9.3 交付地点：_________。</w:t>
      </w:r>
      <w:r/>
    </w:p>
    <w:p>
      <w:pPr>
        <w:ind w:firstLine="480"/>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9.4</w:t>
      </w:r>
      <w:r>
        <w:rPr>
          <w:rFonts w:hint="eastAsia" w:ascii="Calibri" w:hAnsi="Calibri" w:eastAsia="宋体" w:cs="Times New Roman"/>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9.5</w:t>
      </w:r>
      <w:r>
        <w:rPr>
          <w:rFonts w:hint="eastAsia" w:ascii="Calibri" w:hAnsi="Calibri" w:eastAsia="宋体" w:cs="Times New Roman"/>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十、合同款支付</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10.1 付款方式：_________。</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十一、税费</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11.1 本合同执行中相关的一切税费均由乙方负担。</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十二、质量保证及售后服务</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12.1 乙方应按竞争性磋商文件规定和投标文件承诺的性能、技术要求、质量标准向甲方提供产品或服务。</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12.2 乙方提供的产品或服务在服务期内因其本身出现质量问题，根据实际情况，经双方协商，可按以下办法处理：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（1）更换：由乙方承担所产生的全部费用。</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（2）合同终止处理：合同终止，乙方退还甲方支付的合同款，同时承担由此产生的全部费用，甲方不承担任何产生费用。</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12.3 如在使用过程中发生质量问题，乙方在接到甲方通知后</w:t>
      </w:r>
      <w:r>
        <w:rPr>
          <w:rFonts w:hint="eastAsia" w:ascii="Calibri" w:hAnsi="Calibri" w:eastAsia="宋体" w:cs="Times New Roman"/>
          <w:sz w:val="24"/>
          <w:szCs w:val="24"/>
          <w:highlight w:val="none"/>
          <w:u w:val="single"/>
        </w:rPr>
        <w:t xml:space="preserve">  1  </w:t>
      </w:r>
      <w:r>
        <w:rPr>
          <w:rFonts w:hint="eastAsia" w:ascii="Calibri" w:hAnsi="Calibri" w:eastAsia="宋体" w:cs="Times New Roman"/>
          <w:sz w:val="24"/>
          <w:szCs w:val="24"/>
          <w:highlight w:val="none"/>
        </w:rPr>
        <w:t xml:space="preserve">小时内到达甲方现场。</w:t>
      </w:r>
      <w:r/>
    </w:p>
    <w:p>
      <w:pPr>
        <w:ind w:firstLine="480"/>
        <w:jc w:val="left"/>
        <w:spacing w:line="360" w:lineRule="auto"/>
        <w:rPr>
          <w:rFonts w:hint="eastAsia" w:ascii="黑体" w:hAnsi="黑体" w:eastAsia="黑体" w:cs="Times New Roman"/>
          <w:sz w:val="24"/>
          <w:szCs w:val="24"/>
          <w:highlight w:val="none"/>
        </w:rPr>
      </w:pPr>
      <w:r>
        <w:rPr>
          <w:rFonts w:hint="eastAsia" w:ascii="Calibri" w:hAnsi="Calibri" w:eastAsia="宋体" w:cs="Times New Roman"/>
          <w:sz w:val="24"/>
          <w:szCs w:val="24"/>
          <w:highlight w:val="none"/>
        </w:rPr>
        <w:t xml:space="preserve">12.4 在服务期内，乙方应对产品或服务出现的质量及安全问题负责处理解决并承担一切费用。</w:t>
      </w:r>
      <w:r>
        <w:rPr>
          <w:rFonts w:hint="eastAsia" w:ascii="Calibri" w:hAnsi="Calibri" w:eastAsia="宋体" w:cs="Times New Roman"/>
          <w:sz w:val="24"/>
          <w:szCs w:val="24"/>
          <w:highlight w:val="none"/>
        </w:rPr>
        <w:br/>
      </w:r>
      <w:r>
        <w:rPr>
          <w:rFonts w:hint="eastAsia" w:ascii="Calibri" w:hAnsi="Calibri" w:eastAsia="宋体" w:cs="Times New Roman"/>
          <w:sz w:val="24"/>
          <w:szCs w:val="24"/>
          <w:highlight w:val="none"/>
        </w:rPr>
        <w:t xml:space="preserve">    </w:t>
      </w:r>
      <w:r>
        <w:rPr>
          <w:rFonts w:hint="eastAsia" w:ascii="黑体" w:hAnsi="黑体" w:eastAsia="黑体" w:cs="Times New Roman"/>
          <w:sz w:val="24"/>
          <w:szCs w:val="24"/>
          <w:highlight w:val="none"/>
        </w:rPr>
        <w:t xml:space="preserve">十三、项目验收</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13.1 甲方依法组织履约验收工作。</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13.3 对于实际使用人和甲方分离的项目，甲方邀请实际使用人参与验收。</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13.5 甲方成立验收小组，按照采购合同的约定对乙方的履约情况进行验收。验收时间、验收标准见竞争性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eastAsia="宋体" w:cs="Times New Roman"/>
          <w:color w:val="000000"/>
          <w:sz w:val="24"/>
          <w:szCs w:val="22"/>
          <w:highlight w:val="none"/>
        </w:rPr>
        <w:t xml:space="preserve">中华人民共和国民法典</w:t>
      </w:r>
      <w:r>
        <w:rPr>
          <w:rFonts w:hint="eastAsia" w:ascii="Calibri" w:hAnsi="Calibri" w:eastAsia="宋体" w:cs="Times New Roman"/>
          <w:sz w:val="24"/>
          <w:szCs w:val="24"/>
          <w:highlight w:val="none"/>
        </w:rPr>
        <w:t xml:space="preserve">》。乙方在履约过程中有政府采购法律法规规定的违法违规情形的，甲方将及时报告本级财政部门。</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十四、违约责任</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14.1 甲方无正当理由拒收的，甲方向乙方偿付拒收标的总额</w:t>
      </w:r>
      <w:r>
        <w:rPr>
          <w:rFonts w:hint="eastAsia" w:ascii="Calibri" w:hAnsi="Calibri" w:eastAsia="宋体" w:cs="Times New Roman"/>
          <w:sz w:val="24"/>
          <w:szCs w:val="24"/>
          <w:highlight w:val="none"/>
          <w:u w:val="single"/>
        </w:rPr>
        <w:t xml:space="preserve"> 百分之五 </w:t>
      </w:r>
      <w:r>
        <w:rPr>
          <w:rFonts w:hint="eastAsia" w:ascii="Calibri" w:hAnsi="Calibri" w:eastAsia="宋体" w:cs="Times New Roman"/>
          <w:sz w:val="24"/>
          <w:szCs w:val="24"/>
          <w:highlight w:val="none"/>
        </w:rPr>
        <w:t xml:space="preserve">的违约金。</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14.2 甲方无故逾期验收和办理合同款支付手续的，甲方应按逾期付款总额每日</w:t>
      </w:r>
      <w:r>
        <w:rPr>
          <w:rFonts w:hint="eastAsia" w:ascii="Calibri" w:hAnsi="Calibri" w:eastAsia="宋体" w:cs="Times New Roman"/>
          <w:sz w:val="24"/>
          <w:szCs w:val="24"/>
          <w:highlight w:val="none"/>
          <w:u w:val="single"/>
        </w:rPr>
        <w:t xml:space="preserve"> 万分之五 </w:t>
      </w:r>
      <w:r>
        <w:rPr>
          <w:rFonts w:hint="eastAsia" w:ascii="Calibri" w:hAnsi="Calibri" w:eastAsia="宋体" w:cs="Times New Roman"/>
          <w:sz w:val="24"/>
          <w:szCs w:val="24"/>
          <w:highlight w:val="none"/>
        </w:rPr>
        <w:t xml:space="preserve">向乙方支付违约金，</w:t>
      </w:r>
      <w:r>
        <w:rPr>
          <w:rFonts w:hint="eastAsia" w:ascii="宋体" w:hAnsi="宋体" w:eastAsia="宋体" w:cs="宋体"/>
          <w:color w:val="000000"/>
          <w:sz w:val="24"/>
          <w:szCs w:val="22"/>
          <w:highlight w:val="none"/>
        </w:rPr>
        <w:t xml:space="preserve">最高限额为本合同总额的</w:t>
      </w:r>
      <w:r>
        <w:rPr>
          <w:rFonts w:hint="eastAsia" w:ascii="宋体" w:hAnsi="宋体" w:eastAsia="宋体" w:cs="宋体"/>
          <w:sz w:val="24"/>
          <w:szCs w:val="22"/>
          <w:highlight w:val="none"/>
          <w:u w:val="single"/>
        </w:rPr>
        <w:t xml:space="preserve"> </w:t>
      </w:r>
      <w:r>
        <w:rPr>
          <w:rFonts w:hint="eastAsia" w:ascii="Calibri" w:hAnsi="Calibri" w:eastAsia="宋体" w:cs="Times New Roman"/>
          <w:sz w:val="24"/>
          <w:szCs w:val="24"/>
          <w:highlight w:val="none"/>
          <w:u w:val="single"/>
        </w:rPr>
        <w:t xml:space="preserve">百分之五</w:t>
      </w:r>
      <w:r>
        <w:rPr>
          <w:rFonts w:hint="eastAsia" w:ascii="宋体" w:hAnsi="宋体" w:eastAsia="宋体" w:cs="宋体"/>
          <w:sz w:val="24"/>
          <w:szCs w:val="22"/>
          <w:highlight w:val="none"/>
          <w:u w:val="single"/>
        </w:rPr>
        <w:t xml:space="preserve"> </w:t>
      </w:r>
      <w:r>
        <w:rPr>
          <w:rFonts w:hint="eastAsia" w:ascii="Calibri" w:hAnsi="Calibri" w:eastAsia="宋体" w:cs="Times New Roman"/>
          <w:sz w:val="24"/>
          <w:szCs w:val="24"/>
          <w:highlight w:val="none"/>
        </w:rPr>
        <w:t xml:space="preserve">。</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14.3 乙方逾期交付合同标的的，乙方应按逾期交付总额每日</w:t>
      </w:r>
      <w:r>
        <w:rPr>
          <w:rFonts w:hint="eastAsia" w:ascii="Calibri" w:hAnsi="Calibri" w:eastAsia="宋体" w:cs="Times New Roman"/>
          <w:sz w:val="24"/>
          <w:szCs w:val="24"/>
          <w:highlight w:val="none"/>
          <w:u w:val="single"/>
        </w:rPr>
        <w:t xml:space="preserve"> 千分之六 </w:t>
      </w:r>
      <w:r>
        <w:rPr>
          <w:rFonts w:hint="eastAsia" w:ascii="Calibri" w:hAnsi="Calibri" w:eastAsia="宋体" w:cs="Times New Roman"/>
          <w:sz w:val="24"/>
          <w:szCs w:val="24"/>
          <w:highlight w:val="none"/>
        </w:rPr>
        <w:t xml:space="preserve">向甲方支付违约金，由甲方从待付合同款中扣除，</w:t>
      </w:r>
      <w:r>
        <w:rPr>
          <w:rFonts w:hint="eastAsia" w:ascii="宋体" w:hAnsi="宋体" w:eastAsia="宋体" w:cs="宋体"/>
          <w:color w:val="000000"/>
          <w:sz w:val="24"/>
          <w:szCs w:val="22"/>
          <w:highlight w:val="none"/>
        </w:rPr>
        <w:t xml:space="preserve">最高限额为本合同总额的</w:t>
      </w:r>
      <w:r>
        <w:rPr>
          <w:rFonts w:hint="eastAsia" w:ascii="宋体" w:hAnsi="宋体" w:eastAsia="宋体" w:cs="宋体"/>
          <w:sz w:val="24"/>
          <w:szCs w:val="22"/>
          <w:highlight w:val="none"/>
          <w:u w:val="single"/>
        </w:rPr>
        <w:t xml:space="preserve"> </w:t>
      </w:r>
      <w:r>
        <w:rPr>
          <w:rFonts w:hint="eastAsia" w:ascii="Calibri" w:hAnsi="Calibri" w:eastAsia="宋体" w:cs="Times New Roman"/>
          <w:sz w:val="24"/>
          <w:szCs w:val="24"/>
          <w:highlight w:val="none"/>
          <w:u w:val="single"/>
        </w:rPr>
        <w:t xml:space="preserve">百分之五</w:t>
      </w:r>
      <w:r>
        <w:rPr>
          <w:rFonts w:hint="eastAsia" w:ascii="宋体" w:hAnsi="宋体" w:eastAsia="宋体" w:cs="宋体"/>
          <w:sz w:val="24"/>
          <w:szCs w:val="22"/>
          <w:highlight w:val="none"/>
          <w:u w:val="single"/>
        </w:rPr>
        <w:t xml:space="preserve"> </w:t>
      </w:r>
      <w:r>
        <w:rPr>
          <w:rFonts w:hint="eastAsia" w:ascii="Calibri" w:hAnsi="Calibri" w:eastAsia="宋体" w:cs="Times New Roman"/>
          <w:sz w:val="24"/>
          <w:szCs w:val="24"/>
          <w:highlight w:val="none"/>
        </w:rPr>
        <w:t xml:space="preserve">。逾期超过约定日期</w:t>
      </w:r>
      <w:r>
        <w:rPr>
          <w:rFonts w:hint="eastAsia" w:ascii="Calibri" w:hAnsi="Calibri" w:eastAsia="宋体" w:cs="Times New Roman"/>
          <w:sz w:val="24"/>
          <w:szCs w:val="24"/>
          <w:highlight w:val="none"/>
          <w:u w:val="single"/>
        </w:rPr>
        <w:t xml:space="preserve"> 10个工作日 </w:t>
      </w:r>
      <w:r>
        <w:rPr>
          <w:rFonts w:hint="eastAsia" w:ascii="Calibri" w:hAnsi="Calibri" w:eastAsia="宋体" w:cs="Times New Roman"/>
          <w:sz w:val="24"/>
          <w:szCs w:val="24"/>
          <w:highlight w:val="none"/>
        </w:rPr>
        <w:t xml:space="preserve">不能交付的，甲方可解除本合同。乙方因逾期交付或因其他违约行为导致甲方解除合同的，乙方应向甲方支付合同总额</w:t>
      </w:r>
      <w:r>
        <w:rPr>
          <w:rFonts w:hint="eastAsia" w:ascii="Calibri" w:hAnsi="Calibri" w:eastAsia="宋体" w:cs="Times New Roman"/>
          <w:sz w:val="24"/>
          <w:szCs w:val="24"/>
          <w:highlight w:val="none"/>
          <w:u w:val="single"/>
        </w:rPr>
        <w:t xml:space="preserve"> 百分之五 </w:t>
      </w:r>
      <w:r>
        <w:rPr>
          <w:rFonts w:hint="eastAsia" w:ascii="Calibri" w:hAnsi="Calibri" w:eastAsia="宋体" w:cs="Times New Roman"/>
          <w:sz w:val="24"/>
          <w:szCs w:val="24"/>
          <w:highlight w:val="none"/>
        </w:rPr>
        <w:t xml:space="preserve">的违约金，如造成甲方损失超过违约金的，超出部分由乙方继续承担赔偿责任。 </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14.4 乙方交付的产品或服务不符合竞争性磋商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十五、不可抗力事件处理</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15.2 不可抗力事件发生后，应立即通知对方，并寄送有关权威机构出具的证明。</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15.3 不可抗力事件延续120天以上，双方应通过友好协商，确定是否继续履行合同。</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十六、解决争议的方法</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16.1 甲乙双方因合同签订、履行而发生的一切争议，应通过友好协商解决。如协商不成，按下列第</w:t>
      </w:r>
      <w:r>
        <w:rPr>
          <w:rFonts w:hint="eastAsia" w:ascii="Calibri" w:hAnsi="Calibri" w:eastAsia="宋体" w:cs="Times New Roman"/>
          <w:sz w:val="24"/>
          <w:szCs w:val="24"/>
          <w:highlight w:val="none"/>
          <w:u w:val="single"/>
        </w:rPr>
        <w:t xml:space="preserve">（2）</w:t>
      </w:r>
      <w:r>
        <w:rPr>
          <w:rFonts w:hint="eastAsia" w:ascii="Calibri" w:hAnsi="Calibri" w:eastAsia="宋体" w:cs="Times New Roman"/>
          <w:sz w:val="24"/>
          <w:szCs w:val="24"/>
          <w:highlight w:val="none"/>
        </w:rPr>
        <w:t xml:space="preserve">种方式解决：</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（1）向连云港仲裁委员会申请仲裁。</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（2）向合同签订地法院起诉，合同签订地在此约定为连云港市灌云县。</w:t>
      </w:r>
      <w:r/>
    </w:p>
    <w:p>
      <w:pPr>
        <w:ind w:firstLine="480"/>
        <w:jc w:val="left"/>
        <w:spacing w:line="360" w:lineRule="auto"/>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十七、合同生效及其他</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17.1 合同经双方法定代表人或授权代表签字并加盖单位公章后生效。</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17.2 本合同未尽事宜，遵照</w:t>
      </w:r>
      <w:r>
        <w:rPr>
          <w:rFonts w:hint="eastAsia" w:ascii="Calibri" w:hAnsi="Calibri" w:eastAsia="宋体" w:cs="Times New Roman"/>
          <w:color w:val="000000"/>
          <w:sz w:val="24"/>
          <w:szCs w:val="22"/>
          <w:highlight w:val="none"/>
        </w:rPr>
        <w:t xml:space="preserve">《中华人民共和国民法典》</w:t>
      </w:r>
      <w:r>
        <w:rPr>
          <w:rFonts w:hint="eastAsia" w:ascii="Calibri" w:hAnsi="Calibri" w:eastAsia="宋体" w:cs="Times New Roman"/>
          <w:sz w:val="24"/>
          <w:szCs w:val="24"/>
          <w:highlight w:val="none"/>
        </w:rPr>
        <w:t xml:space="preserve">、《</w:t>
      </w:r>
      <w:r>
        <w:rPr>
          <w:rFonts w:hint="eastAsia" w:ascii="Calibri" w:hAnsi="Calibri" w:eastAsia="宋体" w:cs="Times New Roman"/>
          <w:color w:val="000000"/>
          <w:sz w:val="24"/>
          <w:szCs w:val="22"/>
          <w:highlight w:val="none"/>
        </w:rPr>
        <w:t xml:space="preserve">中华人民共和国</w:t>
      </w:r>
      <w:r>
        <w:rPr>
          <w:rFonts w:hint="eastAsia" w:ascii="Calibri" w:hAnsi="Calibri" w:eastAsia="宋体" w:cs="Times New Roman"/>
          <w:sz w:val="24"/>
          <w:szCs w:val="24"/>
          <w:highlight w:val="none"/>
        </w:rPr>
        <w:t xml:space="preserve">政府采购法》有关条文执行。</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17.3 本合同正本一式</w:t>
      </w:r>
      <w:r>
        <w:rPr>
          <w:rFonts w:hint="eastAsia" w:ascii="Calibri" w:hAnsi="Calibri" w:eastAsia="宋体" w:cs="Times New Roman"/>
          <w:sz w:val="24"/>
          <w:szCs w:val="24"/>
          <w:highlight w:val="none"/>
          <w:u w:val="single"/>
        </w:rPr>
        <w:t xml:space="preserve"> 陆 </w:t>
      </w:r>
      <w:r>
        <w:rPr>
          <w:rFonts w:hint="eastAsia" w:ascii="Calibri" w:hAnsi="Calibri" w:eastAsia="宋体" w:cs="Times New Roman"/>
          <w:sz w:val="24"/>
          <w:szCs w:val="24"/>
          <w:highlight w:val="none"/>
        </w:rPr>
        <w:t xml:space="preserve">份，具有同等法律效力，甲方执</w:t>
      </w:r>
      <w:r>
        <w:rPr>
          <w:rFonts w:hint="eastAsia" w:ascii="Calibri" w:hAnsi="Calibri" w:eastAsia="宋体" w:cs="Times New Roman"/>
          <w:sz w:val="24"/>
          <w:szCs w:val="24"/>
          <w:highlight w:val="none"/>
          <w:u w:val="single"/>
        </w:rPr>
        <w:t xml:space="preserve"> 贰 </w:t>
      </w:r>
      <w:r>
        <w:rPr>
          <w:rFonts w:hint="eastAsia" w:ascii="Calibri" w:hAnsi="Calibri" w:eastAsia="宋体" w:cs="Times New Roman"/>
          <w:sz w:val="24"/>
          <w:szCs w:val="24"/>
          <w:highlight w:val="none"/>
        </w:rPr>
        <w:t xml:space="preserve">份、乙方执</w:t>
      </w:r>
      <w:r>
        <w:rPr>
          <w:rFonts w:hint="eastAsia" w:ascii="Calibri" w:hAnsi="Calibri" w:eastAsia="宋体" w:cs="Times New Roman"/>
          <w:sz w:val="24"/>
          <w:szCs w:val="24"/>
          <w:highlight w:val="none"/>
          <w:u w:val="single"/>
        </w:rPr>
        <w:t xml:space="preserve"> 贰 </w:t>
      </w:r>
      <w:r>
        <w:rPr>
          <w:rFonts w:hint="eastAsia" w:ascii="Calibri" w:hAnsi="Calibri" w:eastAsia="宋体" w:cs="Times New Roman"/>
          <w:sz w:val="24"/>
          <w:szCs w:val="24"/>
          <w:highlight w:val="none"/>
        </w:rPr>
        <w:t xml:space="preserve">份，采购代理机构及政府采购监督管理部门各执</w:t>
      </w:r>
      <w:r>
        <w:rPr>
          <w:rFonts w:hint="eastAsia" w:ascii="Calibri" w:hAnsi="Calibri" w:eastAsia="宋体" w:cs="Times New Roman"/>
          <w:sz w:val="24"/>
          <w:szCs w:val="24"/>
          <w:highlight w:val="none"/>
          <w:u w:val="single"/>
        </w:rPr>
        <w:t xml:space="preserve">壹</w:t>
      </w:r>
      <w:r>
        <w:rPr>
          <w:rFonts w:hint="eastAsia" w:ascii="Calibri" w:hAnsi="Calibri" w:eastAsia="宋体" w:cs="Times New Roman"/>
          <w:sz w:val="24"/>
          <w:szCs w:val="24"/>
          <w:highlight w:val="none"/>
        </w:rPr>
        <w:t xml:space="preserve">份。</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    </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甲方：                        乙方： </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地址：                        地址： </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法定代表人或授权代表：        法定代表人或授权代表：</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联系电话：                    联系电话：     </w:t>
      </w:r>
      <w:r/>
    </w:p>
    <w:p>
      <w:pPr>
        <w:ind w:firstLine="480"/>
        <w:jc w:val="left"/>
        <w:spacing w:line="360" w:lineRule="auto"/>
        <w:rPr>
          <w:rFonts w:hint="eastAsia" w:ascii="宋体" w:hAnsi="宋体" w:eastAsia="宋体" w:cs="Times New Roman"/>
          <w:sz w:val="24"/>
          <w:szCs w:val="24"/>
          <w:highlight w:val="none"/>
        </w:rPr>
      </w:pPr>
      <w:r>
        <w:rPr>
          <w:rFonts w:hint="eastAsia" w:ascii="Calibri" w:hAnsi="Calibri" w:eastAsia="宋体" w:cs="Times New Roman"/>
          <w:sz w:val="24"/>
          <w:szCs w:val="24"/>
          <w:highlight w:val="none"/>
        </w:rPr>
        <w:t xml:space="preserve">签订日期：       年    月    日</w:t>
      </w:r>
      <w:r/>
    </w:p>
    <w:p>
      <w:pPr>
        <w:jc w:val="center"/>
        <w:keepLines/>
        <w:keepNext/>
        <w:spacing w:before="156" w:after="156" w:line="360" w:lineRule="auto"/>
        <w:widowControl w:val="off"/>
        <w:rPr>
          <w:rFonts w:hint="eastAsia" w:ascii="黑体" w:hAnsi="黑体" w:eastAsia="黑体" w:cs="Times New Roman"/>
          <w:b w:val="0"/>
          <w:bCs/>
          <w:sz w:val="44"/>
          <w:szCs w:val="44"/>
          <w:highlight w:val="none"/>
          <w:lang w:val="en-US" w:eastAsia="zh-CN" w:bidi="ar-SA"/>
        </w:rPr>
        <w:outlineLvl w:val="0"/>
      </w:pPr>
      <w:r>
        <w:rPr>
          <w:rFonts w:ascii="仿宋_GB2312" w:hAnsi="宋体" w:eastAsia="仿宋_GB2312" w:cs="Times New Roman"/>
          <w:b/>
          <w:bCs/>
          <w:color w:val="000000"/>
          <w:sz w:val="24"/>
          <w:szCs w:val="24"/>
          <w:highlight w:val="none"/>
          <w:lang w:val="en-US" w:eastAsia="zh-CN" w:bidi="ar-SA"/>
        </w:rPr>
        <w:br w:type="page" w:clear="all"/>
      </w:r>
      <w:bookmarkStart w:id="5" w:name="_Toc5154"/>
      <w:r>
        <w:rPr>
          <w:rFonts w:hint="eastAsia" w:ascii="黑体" w:hAnsi="黑体" w:eastAsia="黑体" w:cs="Times New Roman"/>
          <w:b w:val="0"/>
          <w:bCs/>
          <w:sz w:val="44"/>
          <w:szCs w:val="44"/>
          <w:highlight w:val="none"/>
          <w:lang w:val="en-US" w:eastAsia="zh-CN" w:bidi="ar-SA"/>
        </w:rPr>
        <w:t xml:space="preserve">第四章  采购需求</w:t>
      </w:r>
      <w:bookmarkEnd w:id="4"/>
      <w:r/>
      <w:bookmarkEnd w:id="5"/>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说明：项目采购方式为</w:t>
      </w:r>
      <w:r>
        <w:rPr>
          <w:rFonts w:hint="eastAsia" w:ascii="Calibri" w:hAnsi="Calibri" w:eastAsia="宋体" w:cs="Times New Roman"/>
          <w:b/>
          <w:sz w:val="24"/>
          <w:szCs w:val="24"/>
          <w:highlight w:val="none"/>
        </w:rPr>
        <w:t xml:space="preserve"> 竞争性磋商，</w:t>
      </w:r>
      <w:r>
        <w:rPr>
          <w:rFonts w:hint="eastAsia" w:ascii="Calibri" w:hAnsi="Calibri" w:eastAsia="宋体" w:cs="Times New Roman"/>
          <w:sz w:val="24"/>
          <w:szCs w:val="24"/>
          <w:highlight w:val="none"/>
        </w:rPr>
        <w:t xml:space="preserve">项目属性为</w:t>
      </w:r>
      <w:r>
        <w:rPr>
          <w:rFonts w:hint="eastAsia" w:ascii="Calibri" w:hAnsi="Calibri" w:eastAsia="宋体" w:cs="Times New Roman"/>
          <w:b/>
          <w:sz w:val="24"/>
          <w:szCs w:val="24"/>
          <w:highlight w:val="none"/>
        </w:rPr>
        <w:t xml:space="preserve">服务</w:t>
      </w:r>
      <w:r>
        <w:rPr>
          <w:rFonts w:hint="eastAsia" w:ascii="Calibri" w:hAnsi="Calibri" w:eastAsia="宋体" w:cs="Times New Roman"/>
          <w:sz w:val="24"/>
          <w:szCs w:val="24"/>
          <w:highlight w:val="none"/>
        </w:rPr>
        <w:t xml:space="preserve">，采购标的对应的中小企业划分标准所属行业为：</w:t>
      </w:r>
      <w:r>
        <w:rPr>
          <w:rFonts w:hint="eastAsia" w:ascii="Calibri" w:hAnsi="Calibri" w:eastAsia="宋体" w:cs="Times New Roman"/>
          <w:b/>
          <w:sz w:val="24"/>
          <w:szCs w:val="24"/>
          <w:highlight w:val="none"/>
        </w:rPr>
        <w:t xml:space="preserve">其他未列明行业</w:t>
      </w:r>
      <w:r>
        <w:rPr>
          <w:rFonts w:hint="eastAsia" w:ascii="Calibri" w:hAnsi="Calibri" w:eastAsia="宋体" w:cs="Times New Roman"/>
          <w:sz w:val="24"/>
          <w:szCs w:val="24"/>
          <w:highlight w:val="none"/>
        </w:rPr>
        <w:t xml:space="preserve">。</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1、根据《政府采购需求管理办法》等有关规定，采购人确定采购需求。</w:t>
      </w:r>
      <w:r/>
    </w:p>
    <w:p>
      <w:pPr>
        <w:ind w:firstLine="48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hint="eastAsia" w:ascii="Calibri" w:hAnsi="Calibri" w:eastAsia="宋体" w:cs="Times New Roman"/>
          <w:b/>
          <w:sz w:val="24"/>
          <w:szCs w:val="24"/>
          <w:highlight w:val="none"/>
        </w:rPr>
        <w:t xml:space="preserve">本磋商文件中</w:t>
      </w:r>
      <w:r>
        <w:rPr>
          <w:rFonts w:hint="eastAsia" w:ascii="Calibri" w:hAnsi="Calibri" w:eastAsia="宋体" w:cs="Times New Roman"/>
          <w:b/>
          <w:i/>
          <w:color w:val="ff0000"/>
          <w:sz w:val="24"/>
          <w:szCs w:val="24"/>
          <w:highlight w:val="none"/>
          <w:u w:val="single"/>
        </w:rPr>
        <w:t xml:space="preserve">斜体且有下划线部分</w:t>
      </w:r>
      <w:r>
        <w:rPr>
          <w:rFonts w:hint="eastAsia" w:ascii="Calibri" w:hAnsi="Calibri" w:eastAsia="宋体" w:cs="Times New Roman"/>
          <w:b/>
          <w:sz w:val="24"/>
          <w:szCs w:val="24"/>
          <w:highlight w:val="none"/>
        </w:rPr>
        <w:t xml:space="preserve">为实质性要求和条件</w:t>
      </w:r>
      <w:r>
        <w:rPr>
          <w:rFonts w:hint="eastAsia" w:ascii="Calibri" w:hAnsi="Calibri" w:eastAsia="宋体" w:cs="Times New Roman"/>
          <w:sz w:val="24"/>
          <w:szCs w:val="24"/>
          <w:highlight w:val="none"/>
        </w:rPr>
        <w:t xml:space="preserve">，由采购人根据实际情况设置，供应商须逐条明确作出满足实质性要求和条件的响应，否则将按无效响应处理。</w:t>
      </w:r>
      <w:r/>
    </w:p>
    <w:tbl>
      <w:tblPr>
        <w:tblStyle w:val="865"/>
        <w:tblW w:w="8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874"/>
      </w:tblGrid>
      <w:tr>
        <w:trPr>
          <w:jc w:val="center"/>
        </w:trPr>
        <w:tc>
          <w:tcPr>
            <w:gridSpan w:val="2"/>
            <w:tcBorders>
              <w:top w:val="none" w:color="000000" w:sz="4" w:space="0"/>
              <w:left w:val="none" w:color="000000" w:sz="4" w:space="0"/>
              <w:bottom w:val="single" w:color="auto" w:sz="4" w:space="0"/>
              <w:right w:val="none" w:color="000000" w:sz="4" w:space="0"/>
            </w:tcBorders>
            <w:tcW w:w="8690" w:type="dxa"/>
            <w:vAlign w:val="center"/>
            <w:textDirection w:val="lrTb"/>
            <w:noWrap w:val="false"/>
          </w:tcPr>
          <w:p>
            <w:pPr>
              <w:jc w:val="center"/>
              <w:spacing w:line="500" w:lineRule="exact"/>
              <w:rPr>
                <w:rFonts w:hint="eastAsia" w:ascii="黑体" w:hAnsi="黑体" w:eastAsia="黑体" w:cs="Times New Roman"/>
                <w:sz w:val="24"/>
                <w:szCs w:val="24"/>
                <w:highlight w:val="none"/>
              </w:rPr>
            </w:pPr>
            <w:r>
              <w:rPr>
                <w:rFonts w:ascii="黑体" w:hAnsi="黑体" w:eastAsia="黑体" w:cs="Times New Roman"/>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ascii="Calibri" w:hAnsi="Calibri" w:eastAsia="宋体" w:cs="Times New Roman"/>
                <w:b/>
                <w:sz w:val="24"/>
                <w:szCs w:val="24"/>
                <w:highlight w:val="none"/>
              </w:rPr>
            </w:pPr>
            <w:r>
              <w:rPr>
                <w:rFonts w:ascii="Calibri" w:hAnsi="Calibri" w:eastAsia="宋体" w:cs="Times New Roman"/>
                <w:b/>
                <w:sz w:val="24"/>
                <w:szCs w:val="24"/>
                <w:highlight w:val="none"/>
              </w:rPr>
              <w:t xml:space="preserve">序号</w:t>
            </w:r>
            <w:r/>
          </w:p>
        </w:tc>
        <w:tc>
          <w:tcPr>
            <w:tcBorders>
              <w:top w:val="single" w:color="auto" w:sz="4" w:space="0"/>
            </w:tcBorders>
            <w:tcW w:w="7874" w:type="dxa"/>
            <w:textDirection w:val="lrTb"/>
            <w:noWrap w:val="false"/>
          </w:tcPr>
          <w:p>
            <w:pPr>
              <w:jc w:val="center"/>
              <w:spacing w:line="500" w:lineRule="exact"/>
              <w:rPr>
                <w:rFonts w:ascii="Calibri" w:hAnsi="Calibri" w:eastAsia="宋体" w:cs="Times New Roman"/>
                <w:b/>
                <w:sz w:val="24"/>
                <w:szCs w:val="24"/>
                <w:highlight w:val="none"/>
              </w:rPr>
            </w:pPr>
            <w:r>
              <w:rPr>
                <w:rFonts w:ascii="Calibri" w:hAnsi="Calibri" w:eastAsia="宋体" w:cs="Times New Roman"/>
                <w:b/>
                <w:sz w:val="24"/>
                <w:szCs w:val="24"/>
                <w:highlight w:val="none"/>
              </w:rPr>
              <w:t xml:space="preserve">实质性要求和条件</w:t>
            </w:r>
            <w:r/>
          </w:p>
        </w:tc>
      </w:tr>
      <w:tr>
        <w:trPr>
          <w:jc w:val="center"/>
        </w:trPr>
        <w:tc>
          <w:tcPr>
            <w:tcW w:w="816" w:type="dxa"/>
            <w:textDirection w:val="lrTb"/>
            <w:noWrap w:val="false"/>
          </w:tcPr>
          <w:p>
            <w:pPr>
              <w:jc w:val="center"/>
              <w:spacing w:line="48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w:t>
            </w:r>
            <w:r/>
          </w:p>
        </w:tc>
        <w:tc>
          <w:tcPr>
            <w:tcW w:w="7874" w:type="dxa"/>
            <w:textDirection w:val="lrTb"/>
            <w:noWrap w:val="false"/>
          </w:tcPr>
          <w:p>
            <w:pPr>
              <w:spacing w:line="480" w:lineRule="exact"/>
              <w:rPr>
                <w:rFonts w:ascii="Calibri" w:hAnsi="Calibri" w:eastAsia="宋体" w:cs="Times New Roman"/>
                <w:i/>
                <w:iCs/>
                <w:sz w:val="24"/>
                <w:szCs w:val="24"/>
                <w:highlight w:val="none"/>
                <w:u w:val="single"/>
              </w:rPr>
            </w:pPr>
            <w:r>
              <w:rPr>
                <w:rFonts w:hint="eastAsia" w:ascii="宋体" w:hAnsi="宋体" w:eastAsia="宋体" w:cs="宋体"/>
                <w:i/>
                <w:iCs/>
                <w:sz w:val="24"/>
                <w:szCs w:val="24"/>
                <w:highlight w:val="none"/>
                <w:u w:val="single"/>
              </w:rPr>
              <w:t xml:space="preserve">人员配备要求：供应商需为本项目配备项目经理1名、项目技术负责人1名、至少2名以上比对期间运维人员。</w:t>
            </w:r>
            <w:r/>
          </w:p>
        </w:tc>
      </w:tr>
      <w:tr>
        <w:trPr>
          <w:jc w:val="center"/>
        </w:trPr>
        <w:tc>
          <w:tcPr>
            <w:tcW w:w="816" w:type="dxa"/>
            <w:textDirection w:val="lrTb"/>
            <w:noWrap w:val="false"/>
          </w:tcPr>
          <w:p>
            <w:pPr>
              <w:jc w:val="center"/>
              <w:spacing w:line="48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p>
        </w:tc>
        <w:tc>
          <w:tcPr>
            <w:tcW w:w="7874" w:type="dxa"/>
            <w:textDirection w:val="lrTb"/>
            <w:noWrap w:val="false"/>
          </w:tcPr>
          <w:p>
            <w:pPr>
              <w:spacing w:line="480" w:lineRule="exact"/>
              <w:rPr>
                <w:rFonts w:ascii="Calibri" w:hAnsi="Calibri" w:eastAsia="宋体" w:cs="Times New Roman"/>
                <w:i/>
                <w:iCs/>
                <w:sz w:val="24"/>
                <w:szCs w:val="24"/>
                <w:highlight w:val="none"/>
                <w:u w:val="single"/>
              </w:rPr>
            </w:pPr>
            <w:r>
              <w:rPr>
                <w:rFonts w:hint="eastAsia" w:ascii="宋体" w:hAnsi="宋体" w:eastAsia="宋体" w:cs="宋体"/>
                <w:i/>
                <w:iCs/>
                <w:sz w:val="24"/>
                <w:szCs w:val="24"/>
                <w:highlight w:val="none"/>
                <w:u w:val="single"/>
              </w:rPr>
              <w:t xml:space="preserve">服务期限：自合同签订之日起60日历天内完成。</w:t>
            </w:r>
            <w:r/>
          </w:p>
        </w:tc>
      </w:tr>
      <w:tr>
        <w:trPr>
          <w:jc w:val="center"/>
        </w:trPr>
        <w:tc>
          <w:tcPr>
            <w:tcW w:w="816" w:type="dxa"/>
            <w:textDirection w:val="lrTb"/>
            <w:noWrap w:val="false"/>
          </w:tcPr>
          <w:p>
            <w:pPr>
              <w:jc w:val="center"/>
              <w:spacing w:line="48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w:t>
            </w:r>
            <w:r/>
          </w:p>
        </w:tc>
        <w:tc>
          <w:tcPr>
            <w:tcW w:w="7874" w:type="dxa"/>
            <w:textDirection w:val="lrTb"/>
            <w:noWrap w:val="false"/>
          </w:tcPr>
          <w:p>
            <w:pPr>
              <w:jc w:val="left"/>
              <w:spacing w:line="480" w:lineRule="exact"/>
              <w:rPr>
                <w:rFonts w:ascii="Calibri" w:hAnsi="Calibri" w:eastAsia="宋体" w:cs="Times New Roman"/>
                <w:i/>
                <w:iCs/>
                <w:sz w:val="24"/>
                <w:szCs w:val="22"/>
                <w:highlight w:val="none"/>
                <w:u w:val="single"/>
              </w:rPr>
            </w:pPr>
            <w:r>
              <w:rPr>
                <w:rFonts w:hint="eastAsia" w:ascii="宋体" w:hAnsi="宋体" w:eastAsia="宋体" w:cs="宋体"/>
                <w:i/>
                <w:iCs/>
                <w:sz w:val="24"/>
                <w:szCs w:val="24"/>
                <w:highlight w:val="none"/>
                <w:u w:val="single"/>
                <w:lang w:bidi="ar"/>
              </w:rPr>
              <w:t xml:space="preserve">付款方式：</w:t>
            </w:r>
            <w:r>
              <w:rPr>
                <w:rFonts w:hint="eastAsia" w:ascii="宋体" w:hAnsi="宋体" w:eastAsia="宋体" w:cs="Times New Roman"/>
                <w:i/>
                <w:iCs/>
                <w:sz w:val="24"/>
                <w:szCs w:val="24"/>
                <w:highlight w:val="none"/>
                <w:u w:val="single"/>
              </w:rPr>
              <w:t xml:space="preserve">合同签订后，采购人支付合同价款的10%作为预付款；验收合格后支付至合同金额的100%，服务期满后10个工作日内支付尾款。</w:t>
            </w:r>
            <w:r/>
          </w:p>
        </w:tc>
      </w:tr>
    </w:tbl>
    <w:p>
      <w:pPr>
        <w:ind w:firstLine="482"/>
        <w:jc w:val="left"/>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一、项目概况（或背景或主要建设内容）</w:t>
      </w:r>
      <w:r/>
    </w:p>
    <w:p>
      <w:pPr>
        <w:ind w:firstLine="48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灌云监测站”省控大气站点位于县城伊山镇胜利中路707号连云港市灌云生态环境局办公楼顶（经纬度为34.296751°、119.244083°）。该站点建于2009年，主要参数有可吸入颗粒物、细颗粒物，后来根据大气环境管理的需要陆续增加O3、CO、SO2、NOx等参数设备，承担区域大气污染物（PM2.5、PM10、SO₂、NO₂、O₃、CO）实时监测及数据传输任务。</w:t>
      </w:r>
      <w:r/>
    </w:p>
    <w:p>
      <w:pPr>
        <w:ind w:firstLine="48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依据《省生态环境厅关于印发“十五五”省控地表水、空气和地下水环境质量监测网优化调整工作方案的通知》以及《环境空气质量监测点位布设技术规范》(HJ664-2013 )技术规范要求，“灌云监测站”省控大气站点基本符合调整要求，为确保灌云县内省控点位优化调整工作顺利进行，需开展灌云监测站省控大气站点移站比对监测服务项目采购，主要内容为新点位选址技术论证工作、开展空气质量监测比对工作、更新站房并将旧站点仪器及辅助设备搬迁至新点位。</w:t>
      </w:r>
      <w:r/>
    </w:p>
    <w:p>
      <w:pPr>
        <w:ind w:firstLine="482"/>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二、服务技术要求</w:t>
      </w:r>
      <w:r/>
    </w:p>
    <w:p>
      <w:pPr>
        <w:ind w:firstLine="482"/>
        <w:jc w:val="left"/>
        <w:keepLines/>
        <w:keepNext/>
        <w:spacing w:before="260" w:after="260" w:line="480" w:lineRule="exact"/>
        <w:widowControl w:val="off"/>
        <w:rPr>
          <w:rFonts w:hint="eastAsia" w:ascii="宋体" w:hAnsi="宋体" w:eastAsia="宋体" w:cs="宋体"/>
          <w:b/>
          <w:bCs/>
          <w:sz w:val="24"/>
          <w:szCs w:val="24"/>
          <w:highlight w:val="none"/>
          <w:lang w:val="en-US" w:eastAsia="zh-CN" w:bidi="ar-SA"/>
        </w:rPr>
        <w:outlineLvl w:val="1"/>
      </w:pPr>
      <w:r/>
      <w:bookmarkStart w:id="6" w:name="_Toc49435397"/>
      <w:r>
        <w:rPr>
          <w:rFonts w:hint="eastAsia" w:ascii="宋体" w:hAnsi="宋体" w:eastAsia="宋体" w:cs="宋体"/>
          <w:b/>
          <w:bCs/>
          <w:sz w:val="24"/>
          <w:szCs w:val="24"/>
          <w:highlight w:val="none"/>
          <w:lang w:val="en-US" w:eastAsia="zh-CN" w:bidi="ar-SA"/>
        </w:rPr>
        <w:t xml:space="preserve">1、服务范围（服务内容）</w:t>
      </w:r>
      <w:r/>
    </w:p>
    <w:p>
      <w:pPr>
        <w:ind w:firstLine="48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灌云监测站省控大气站点移站比对监测服务项目采购清单</w:t>
      </w:r>
      <w:r/>
    </w:p>
    <w:tbl>
      <w:tblPr>
        <w:tblStyle w:val="864"/>
        <w:tblW w:w="9347" w:type="dxa"/>
        <w:jc w:val="center"/>
        <w:tblLayout w:type="autofit"/>
        <w:tblCellMar>
          <w:left w:w="15" w:type="dxa"/>
          <w:top w:w="15" w:type="dxa"/>
          <w:right w:w="15" w:type="dxa"/>
          <w:bottom w:w="0" w:type="dxa"/>
        </w:tblCellMar>
        <w:tblLook w:val="04A0" w:firstRow="1" w:lastRow="0" w:firstColumn="1" w:lastColumn="0" w:noHBand="0" w:noVBand="1"/>
      </w:tblPr>
      <w:tblGrid>
        <w:gridCol w:w="981"/>
        <w:gridCol w:w="3500"/>
        <w:gridCol w:w="2318"/>
        <w:gridCol w:w="1283"/>
        <w:gridCol w:w="1265"/>
      </w:tblGrid>
      <w:tr>
        <w:trPr>
          <w:jc w:val="center"/>
          <w:trHeight w:val="4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0" w:type="dxa"/>
            <w:vAlign w:val="center"/>
            <w:textDirection w:val="lrTb"/>
            <w:noWrap w:val="false"/>
          </w:tcPr>
          <w:p>
            <w:pPr>
              <w:ind w:firstLine="48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5"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4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500" w:type="dxa"/>
            <w:vAlign w:val="center"/>
            <w:textDirection w:val="lrTb"/>
            <w:noWrap w:val="false"/>
          </w:tcPr>
          <w:p>
            <w:pPr>
              <w:ind w:firstLine="48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新点位选址技术论证</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5" w:type="dxa"/>
            <w:vAlign w:val="center"/>
            <w:textDirection w:val="lrTb"/>
            <w:noWrap w:val="false"/>
          </w:tcPr>
          <w:p>
            <w:pPr>
              <w:ind w:firstLine="48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500" w:type="dxa"/>
            <w:vAlign w:val="center"/>
            <w:textDirection w:val="lrTb"/>
            <w:noWrap w:val="false"/>
          </w:tcPr>
          <w:p>
            <w:pPr>
              <w:ind w:firstLine="48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比对监测</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5" w:type="dxa"/>
            <w:vAlign w:val="center"/>
            <w:textDirection w:val="lrTb"/>
            <w:noWrap w:val="false"/>
          </w:tcPr>
          <w:p>
            <w:pPr>
              <w:ind w:firstLine="48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0" w:type="dxa"/>
            <w:vAlign w:val="center"/>
            <w:textDirection w:val="lrTb"/>
            <w:noWrap w:val="false"/>
          </w:tcPr>
          <w:p>
            <w:pPr>
              <w:ind w:firstLine="48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设备搬迁</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5" w:type="dxa"/>
            <w:vAlign w:val="center"/>
            <w:textDirection w:val="lrTb"/>
            <w:noWrap w:val="false"/>
          </w:tcPr>
          <w:p>
            <w:pPr>
              <w:ind w:firstLine="48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00" w:type="dxa"/>
            <w:vAlign w:val="center"/>
            <w:textDirection w:val="lrTb"/>
            <w:noWrap w:val="false"/>
          </w:tcPr>
          <w:p>
            <w:pPr>
              <w:ind w:firstLine="48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新建站房及辅助设施</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3" w:type="dxa"/>
            <w:vAlign w:val="center"/>
            <w:textDirection w:val="lrTb"/>
            <w:noWrap w:val="false"/>
          </w:tcPr>
          <w:p>
            <w:pPr>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5" w:type="dxa"/>
            <w:vAlign w:val="center"/>
            <w:textDirection w:val="lrTb"/>
            <w:noWrap w:val="false"/>
          </w:tcPr>
          <w:p>
            <w:pPr>
              <w:ind w:firstLine="480"/>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2"/>
        <w:jc w:val="left"/>
        <w:keepLines/>
        <w:keepNext/>
        <w:spacing w:before="260" w:after="260" w:line="480" w:lineRule="exact"/>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2、服务技术要求</w:t>
      </w:r>
      <w:r/>
    </w:p>
    <w:p>
      <w:pPr>
        <w:numPr>
          <w:ilvl w:val="1"/>
          <w:numId w:val="0"/>
        </w:num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1"/>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1.1 新点位选址技术论证工作</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严格按照环境空气质量监测点位布设技术规范（试行）（HJ664-2013）等有关技术规范的相关要求实施。</w:t>
      </w:r>
      <w:r/>
    </w:p>
    <w:p>
      <w:pPr>
        <w:numPr>
          <w:ilvl w:val="1"/>
          <w:numId w:val="0"/>
        </w:num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1"/>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1.2 比对监测工作</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在拟选站点开展空气质量比对监测，按照《环境空气质量标准》（GB 3095-2012）规定，选择二氧化硫（SO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）、二氧化氮（NO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）、可吸入颗粒物（PM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10</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）、细颗粒物（PM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2.5</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）、一氧化碳（CO）、臭氧（O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3</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）六项必测项目进行监测、比对和评价。</w:t>
      </w:r>
      <w:r/>
    </w:p>
    <w:p>
      <w:pPr>
        <w:numPr>
          <w:ilvl w:val="2"/>
          <w:numId w:val="0"/>
        </w:num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2"/>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1.2.1 空气质量比对监测工作</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（1）比对监测工作开展前，对整套设备进行性能测试；</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（2）设备性能测试合格后，将设备放置于拟搬迁点位，参照相关监测技术规范开展监测，仪器正常运行时的所有监测数据均为有效数据，全部参与统计；</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（3）比对时间：不少于15个有效天；</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（4）比对结果评价：使用比对监测开展后的数据作为本次比对结果，取相同采样时间段内的原站点审核后的实况监测数据作为本次比对的测试数据，计算相对偏差。</w:t>
      </w:r>
      <w:r/>
    </w:p>
    <w:p>
      <w:pPr>
        <w:numPr>
          <w:ilvl w:val="2"/>
          <w:numId w:val="0"/>
        </w:num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2"/>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1.2.2 设备和设施</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比对设备要求：需有生态环境部（原环境保护部）监测仪器设备质量监督检验中心出具的整机适用性测试报告。</w:t>
      </w:r>
      <w:r/>
    </w:p>
    <w:p>
      <w:pPr>
        <w:numPr>
          <w:ilvl w:val="2"/>
          <w:numId w:val="0"/>
        </w:num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2"/>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1.2.3 工作要求</w:t>
      </w:r>
      <w:r/>
    </w:p>
    <w:p>
      <w:pPr>
        <w:contextualSpacing/>
        <w:ind w:firstLine="480"/>
        <w:spacing w:line="520" w:lineRule="exact"/>
        <w:tabs>
          <w:tab w:val="left" w:pos="2280" w:leader="none"/>
        </w:tabs>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比对设备包括监测仪器、质控设备、气象仪器和辅助设备设施四部分。其中，监测仪器主要包括SO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、NO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（NO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x</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、NO）、CO、O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3</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10</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2.5</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六项指标监测仪，质控设备主要包括零气发生器和动态校准仪，气象仪器监测因子为温度、湿度、大气压力、风速和风向，辅助设备设施包括UPS、供电系统、数据上传与通讯系统、安防设施和站房等。</w:t>
      </w:r>
      <w:r/>
    </w:p>
    <w:p>
      <w:pPr>
        <w:contextualSpacing/>
        <w:ind w:firstLine="480"/>
        <w:spacing w:line="520" w:lineRule="exact"/>
        <w:tabs>
          <w:tab w:val="left" w:pos="2280" w:leader="none"/>
        </w:tabs>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比对开始前，监测仪器需进行性能测试，性能测试结果需满足《环境空气气态污染物（SO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、NO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3</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、CO）连续自动监测系统安装验收技术规范》（HJ 193-2013）、《环境空气颗粒物（PM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10</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和PM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2.5</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）连续自动监测系统安装和验收技术规范》（HJ 655-2013）中相关要求（见下表）。</w:t>
      </w:r>
      <w:r/>
    </w:p>
    <w:p>
      <w:pPr>
        <w:ind w:firstLine="480"/>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表1 环境空气质量自动监测仪器性能指标</w:t>
      </w:r>
      <w:r/>
    </w:p>
    <w:tbl>
      <w:tblPr>
        <w:tblStyle w:val="864"/>
        <w:tblW w:w="50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6"/>
        <w:gridCol w:w="1940"/>
        <w:gridCol w:w="1918"/>
        <w:gridCol w:w="1858"/>
        <w:gridCol w:w="1778"/>
      </w:tblGrid>
      <w:tr>
        <w:trPr>
          <w:jc w:val="center"/>
          <w:trHeight w:val="617"/>
        </w:trPr>
        <w:tc>
          <w:tcPr>
            <w:tcW w:w="1257" w:type="pct"/>
            <w:vAlign w:val="center"/>
            <w:vMerge w:val="restart"/>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检测项目</w:t>
            </w:r>
            <w:r/>
          </w:p>
        </w:tc>
        <w:tc>
          <w:tcPr>
            <w:gridSpan w:val="4"/>
            <w:tcW w:w="3742"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性能指标</w:t>
            </w:r>
            <w:r/>
          </w:p>
        </w:tc>
      </w:tr>
      <w:tr>
        <w:trPr>
          <w:jc w:val="center"/>
          <w:trHeight w:val="638"/>
        </w:trPr>
        <w:tc>
          <w:tcPr>
            <w:tcW w:w="1257" w:type="pct"/>
            <w:vAlign w:val="center"/>
            <w:vMerge w:val="continue"/>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r>
            <w:r/>
          </w:p>
        </w:tc>
        <w:tc>
          <w:tcPr>
            <w:tcW w:w="96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SO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分析仪器</w:t>
            </w:r>
            <w:r/>
          </w:p>
        </w:tc>
        <w:tc>
          <w:tcPr>
            <w:tcW w:w="95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NO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x</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分析仪器</w:t>
            </w:r>
            <w:r/>
          </w:p>
        </w:tc>
        <w:tc>
          <w:tcPr>
            <w:tcW w:w="92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CO分析仪器</w:t>
            </w:r>
            <w:r/>
          </w:p>
        </w:tc>
        <w:tc>
          <w:tcPr>
            <w:tcW w:w="88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3</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分析仪器</w:t>
            </w:r>
            <w:r/>
          </w:p>
        </w:tc>
      </w:tr>
      <w:tr>
        <w:trPr>
          <w:jc w:val="center"/>
          <w:trHeight w:val="397"/>
        </w:trPr>
        <w:tc>
          <w:tcPr>
            <w:tcW w:w="125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零点噪声</w:t>
            </w:r>
            <w:r/>
          </w:p>
        </w:tc>
        <w:tc>
          <w:tcPr>
            <w:tcW w:w="96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≤1ppb</w:t>
            </w:r>
            <w:r/>
          </w:p>
        </w:tc>
        <w:tc>
          <w:tcPr>
            <w:tcW w:w="95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≤1ppb</w:t>
            </w:r>
            <w:r/>
          </w:p>
        </w:tc>
        <w:tc>
          <w:tcPr>
            <w:tcW w:w="92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≤0.25ppm</w:t>
            </w:r>
            <w:r/>
          </w:p>
        </w:tc>
        <w:tc>
          <w:tcPr>
            <w:tcW w:w="88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≤1ppb</w:t>
            </w:r>
            <w:r/>
          </w:p>
        </w:tc>
      </w:tr>
      <w:tr>
        <w:trPr>
          <w:jc w:val="center"/>
          <w:trHeight w:val="397"/>
        </w:trPr>
        <w:tc>
          <w:tcPr>
            <w:tcW w:w="125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最低检出限</w:t>
            </w:r>
            <w:r/>
          </w:p>
        </w:tc>
        <w:tc>
          <w:tcPr>
            <w:tcW w:w="96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≤2ppb</w:t>
            </w:r>
            <w:r/>
          </w:p>
        </w:tc>
        <w:tc>
          <w:tcPr>
            <w:tcW w:w="95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≤2ppb</w:t>
            </w:r>
            <w:r/>
          </w:p>
        </w:tc>
        <w:tc>
          <w:tcPr>
            <w:tcW w:w="92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≤0.5ppm</w:t>
            </w:r>
            <w:r/>
          </w:p>
        </w:tc>
        <w:tc>
          <w:tcPr>
            <w:tcW w:w="88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≤2ppb</w:t>
            </w:r>
            <w:r/>
          </w:p>
        </w:tc>
      </w:tr>
      <w:tr>
        <w:trPr>
          <w:jc w:val="center"/>
          <w:trHeight w:val="397"/>
        </w:trPr>
        <w:tc>
          <w:tcPr>
            <w:tcW w:w="125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量程噪声</w:t>
            </w:r>
            <w:r/>
          </w:p>
        </w:tc>
        <w:tc>
          <w:tcPr>
            <w:tcW w:w="96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c>
          <w:tcPr>
            <w:tcW w:w="95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c>
          <w:tcPr>
            <w:tcW w:w="92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≤1ppm</w:t>
            </w:r>
            <w:r/>
          </w:p>
        </w:tc>
        <w:tc>
          <w:tcPr>
            <w:tcW w:w="88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r>
      <w:tr>
        <w:trPr>
          <w:jc w:val="center"/>
          <w:trHeight w:val="397"/>
        </w:trPr>
        <w:tc>
          <w:tcPr>
            <w:tcW w:w="125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示值误差</w:t>
            </w:r>
            <w:r/>
          </w:p>
        </w:tc>
        <w:tc>
          <w:tcPr>
            <w:tcW w:w="96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±2%F.S.</w:t>
            </w:r>
            <w:r/>
          </w:p>
        </w:tc>
        <w:tc>
          <w:tcPr>
            <w:tcW w:w="95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±2%F.S.</w:t>
            </w:r>
            <w:r/>
          </w:p>
        </w:tc>
        <w:tc>
          <w:tcPr>
            <w:tcW w:w="92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±2%F.S.</w:t>
            </w:r>
            <w:r/>
          </w:p>
        </w:tc>
        <w:tc>
          <w:tcPr>
            <w:tcW w:w="88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±4%F.S.</w:t>
            </w:r>
            <w:r/>
          </w:p>
        </w:tc>
      </w:tr>
      <w:tr>
        <w:trPr>
          <w:jc w:val="center"/>
          <w:trHeight w:val="397"/>
        </w:trPr>
        <w:tc>
          <w:tcPr>
            <w:tcW w:w="125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20%量程精密度</w:t>
            </w:r>
            <w:r/>
          </w:p>
        </w:tc>
        <w:tc>
          <w:tcPr>
            <w:tcW w:w="96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c>
          <w:tcPr>
            <w:tcW w:w="95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c>
          <w:tcPr>
            <w:tcW w:w="92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≤0.5ppm</w:t>
            </w:r>
            <w:r/>
          </w:p>
        </w:tc>
        <w:tc>
          <w:tcPr>
            <w:tcW w:w="88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r>
      <w:tr>
        <w:trPr>
          <w:jc w:val="center"/>
          <w:trHeight w:val="397"/>
        </w:trPr>
        <w:tc>
          <w:tcPr>
            <w:tcW w:w="125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80%量程精密度</w:t>
            </w:r>
            <w:r/>
          </w:p>
        </w:tc>
        <w:tc>
          <w:tcPr>
            <w:tcW w:w="96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≤10ppb</w:t>
            </w:r>
            <w:r/>
          </w:p>
        </w:tc>
        <w:tc>
          <w:tcPr>
            <w:tcW w:w="95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≤10ppb</w:t>
            </w:r>
            <w:r/>
          </w:p>
        </w:tc>
        <w:tc>
          <w:tcPr>
            <w:tcW w:w="92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≤0.5ppm</w:t>
            </w:r>
            <w:r/>
          </w:p>
        </w:tc>
        <w:tc>
          <w:tcPr>
            <w:tcW w:w="88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≤10ppb</w:t>
            </w:r>
            <w:r/>
          </w:p>
        </w:tc>
      </w:tr>
      <w:tr>
        <w:trPr>
          <w:jc w:val="center"/>
          <w:trHeight w:val="397"/>
        </w:trPr>
        <w:tc>
          <w:tcPr>
            <w:tcW w:w="125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24小时零点漂移</w:t>
            </w:r>
            <w:r/>
          </w:p>
        </w:tc>
        <w:tc>
          <w:tcPr>
            <w:tcW w:w="96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c>
          <w:tcPr>
            <w:tcW w:w="95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c>
          <w:tcPr>
            <w:tcW w:w="92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±1ppm</w:t>
            </w:r>
            <w:r/>
          </w:p>
        </w:tc>
        <w:tc>
          <w:tcPr>
            <w:tcW w:w="88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r>
      <w:tr>
        <w:trPr>
          <w:jc w:val="center"/>
          <w:trHeight w:val="397"/>
        </w:trPr>
        <w:tc>
          <w:tcPr>
            <w:tcW w:w="125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24小时20%量程漂移</w:t>
            </w:r>
            <w:r/>
          </w:p>
        </w:tc>
        <w:tc>
          <w:tcPr>
            <w:tcW w:w="96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c>
          <w:tcPr>
            <w:tcW w:w="95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c>
          <w:tcPr>
            <w:tcW w:w="92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±1ppm</w:t>
            </w:r>
            <w:r/>
          </w:p>
        </w:tc>
        <w:tc>
          <w:tcPr>
            <w:tcW w:w="88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±5ppb</w:t>
            </w:r>
            <w:r/>
          </w:p>
        </w:tc>
      </w:tr>
      <w:tr>
        <w:trPr>
          <w:jc w:val="center"/>
          <w:trHeight w:val="397"/>
        </w:trPr>
        <w:tc>
          <w:tcPr>
            <w:tcW w:w="125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24小时80%量程漂移</w:t>
            </w:r>
            <w:r/>
          </w:p>
        </w:tc>
        <w:tc>
          <w:tcPr>
            <w:tcW w:w="96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±10ppb</w:t>
            </w:r>
            <w:r/>
          </w:p>
        </w:tc>
        <w:tc>
          <w:tcPr>
            <w:tcW w:w="95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±10ppb</w:t>
            </w:r>
            <w:r/>
          </w:p>
        </w:tc>
        <w:tc>
          <w:tcPr>
            <w:tcW w:w="928"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±1ppm</w:t>
            </w:r>
            <w:r/>
          </w:p>
        </w:tc>
        <w:tc>
          <w:tcPr>
            <w:tcW w:w="88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±10ppb</w:t>
            </w:r>
            <w:r/>
          </w:p>
        </w:tc>
      </w:tr>
      <w:tr>
        <w:trPr>
          <w:jc w:val="center"/>
          <w:trHeight w:val="555"/>
        </w:trPr>
        <w:tc>
          <w:tcPr>
            <w:gridSpan w:val="5"/>
            <w:tcW w:w="5000"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注：F.S.表示满量程，各指标以国家规范为准</w:t>
            </w:r>
            <w:r/>
          </w:p>
        </w:tc>
      </w:tr>
    </w:tbl>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r>
      <w:r/>
    </w:p>
    <w:p>
      <w:pPr>
        <w:ind w:firstLine="480"/>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表2 环境空气质量可吸入颗粒物自动监测仪性能指标</w:t>
      </w:r>
      <w:r/>
    </w:p>
    <w:tbl>
      <w:tblPr>
        <w:tblStyle w:val="864"/>
        <w:tblW w:w="518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05"/>
        <w:gridCol w:w="2586"/>
        <w:gridCol w:w="4023"/>
        <w:gridCol w:w="2905"/>
      </w:tblGrid>
      <w:tr>
        <w:trPr>
          <w:jc w:val="center"/>
          <w:trHeight w:val="233"/>
        </w:trPr>
        <w:tc>
          <w:tcPr>
            <w:tcW w:w="252"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序号</w:t>
            </w:r>
            <w:r/>
          </w:p>
        </w:tc>
        <w:tc>
          <w:tcPr>
            <w:tcW w:w="1290"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检测项目</w:t>
            </w:r>
            <w:r/>
          </w:p>
        </w:tc>
        <w:tc>
          <w:tcPr>
            <w:tcW w:w="200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10</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连续监测系统</w:t>
            </w:r>
            <w:r/>
          </w:p>
        </w:tc>
        <w:tc>
          <w:tcPr>
            <w:tcW w:w="144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2.5</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连续监测系统</w:t>
            </w:r>
            <w:r/>
          </w:p>
        </w:tc>
      </w:tr>
      <w:tr>
        <w:trPr>
          <w:jc w:val="center"/>
          <w:trHeight w:val="312"/>
        </w:trPr>
        <w:tc>
          <w:tcPr>
            <w:tcW w:w="252"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w:t>
            </w:r>
            <w:r/>
          </w:p>
        </w:tc>
        <w:tc>
          <w:tcPr>
            <w:tcW w:w="1290"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温度测量示值误差</w:t>
            </w:r>
            <w:r/>
          </w:p>
        </w:tc>
        <w:tc>
          <w:tcPr>
            <w:tcW w:w="200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w:t>
            </w:r>
            <w:r/>
          </w:p>
        </w:tc>
        <w:tc>
          <w:tcPr>
            <w:tcW w:w="144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w:t>
            </w:r>
            <w:r/>
          </w:p>
        </w:tc>
      </w:tr>
      <w:tr>
        <w:trPr>
          <w:jc w:val="center"/>
          <w:trHeight w:val="311"/>
        </w:trPr>
        <w:tc>
          <w:tcPr>
            <w:tcW w:w="252"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w:t>
            </w:r>
            <w:r/>
          </w:p>
        </w:tc>
        <w:tc>
          <w:tcPr>
            <w:tcW w:w="1290"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大气压测量示值误差</w:t>
            </w:r>
            <w:r/>
          </w:p>
        </w:tc>
        <w:tc>
          <w:tcPr>
            <w:tcW w:w="200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±1kPa</w:t>
            </w:r>
            <w:r/>
          </w:p>
        </w:tc>
        <w:tc>
          <w:tcPr>
            <w:tcW w:w="144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±1kPa</w:t>
            </w:r>
            <w:r/>
          </w:p>
        </w:tc>
      </w:tr>
      <w:tr>
        <w:trPr>
          <w:jc w:val="center"/>
          <w:trHeight w:val="936"/>
        </w:trPr>
        <w:tc>
          <w:tcPr>
            <w:tcW w:w="252"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3</w:t>
            </w:r>
            <w:r/>
          </w:p>
        </w:tc>
        <w:tc>
          <w:tcPr>
            <w:tcW w:w="1290"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流量测试</w:t>
            </w:r>
            <w:r/>
          </w:p>
        </w:tc>
        <w:tc>
          <w:tcPr>
            <w:tcW w:w="200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每一次测试时间点流量变化±10%设定流量；</w:t>
            </w:r>
            <w:r/>
          </w:p>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24h平均流量变化±5%设定流量。</w:t>
            </w:r>
            <w:r/>
          </w:p>
        </w:tc>
        <w:tc>
          <w:tcPr>
            <w:tcW w:w="144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平均流量偏差±5%设定流量；流量相对标准偏差≤2%；</w:t>
            </w:r>
            <w:r/>
          </w:p>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平均流量示值误差≤2%。</w:t>
            </w:r>
            <w:r/>
          </w:p>
        </w:tc>
      </w:tr>
      <w:tr>
        <w:trPr>
          <w:jc w:val="center"/>
          <w:trHeight w:val="233"/>
        </w:trPr>
        <w:tc>
          <w:tcPr>
            <w:tcW w:w="252"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4</w:t>
            </w:r>
            <w:r/>
          </w:p>
        </w:tc>
        <w:tc>
          <w:tcPr>
            <w:tcW w:w="1290"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校准膜重现性</w:t>
            </w:r>
            <w:r/>
          </w:p>
        </w:tc>
        <w:tc>
          <w:tcPr>
            <w:tcW w:w="2007"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±2%（标称值）</w:t>
            </w:r>
            <w:r/>
          </w:p>
        </w:tc>
        <w:tc>
          <w:tcPr>
            <w:tcW w:w="1449" w:type="pct"/>
            <w:vAlign w:val="center"/>
            <w:textDirection w:val="lrTb"/>
            <w:noWrap w:val="false"/>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±2%（标称值）</w:t>
            </w:r>
            <w:r/>
          </w:p>
        </w:tc>
      </w:tr>
    </w:tbl>
    <w:p>
      <w:pPr>
        <w:numPr>
          <w:ilvl w:val="2"/>
          <w:numId w:val="0"/>
        </w:num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2"/>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1.2.4 仪器维护要求</w:t>
      </w:r>
      <w:r/>
    </w:p>
    <w:p>
      <w:p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3"/>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1.2.4.1 前期准备方面</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（1）需配置1套六参数分析仪（SO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、NO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（NOx、NO）、CO、O</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3</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10</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2.5</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用作比对</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（2）需配备必要的质量控制设备，标准气体须为生态环境部标样所或中国计量院生产的一级标准样品或物质；配备1套流量计、一级压力计、一级温湿度计；</w:t>
      </w:r>
      <w:r/>
    </w:p>
    <w:p>
      <w:pPr>
        <w:contextualSpacing/>
        <w:ind w:firstLine="480"/>
        <w:spacing w:line="520" w:lineRule="exact"/>
        <w:tabs>
          <w:tab w:val="left" w:pos="2280" w:leader="none"/>
        </w:tabs>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（3）至少安排1名运维人员专项负责该项目仪器维护以保证数据正确性，并配备1套专用仪器维护维修工具。</w:t>
      </w:r>
      <w:r/>
    </w:p>
    <w:p>
      <w:p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3"/>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1.2.4.2 数据监测方面</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技术负责人8:00-22:00内至少每两小时远程查看一次监测数据，分析监测数据异常情况，对站点运行情况进行远程诊断和运行管理，同时做好记录，内容包括：</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（1）查看站点数据传输情况及在线情况；</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（2）根据电流电压、站房温度、湿度数据判断站房内部情况；</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（3）根据仪器运行状态、参数分析判断仪器运行是否正常；</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（4）发现运行数据有持续异常值时，应立即奔赴现场查看处理并做好相应记录。</w:t>
      </w:r>
      <w:r/>
    </w:p>
    <w:p>
      <w:p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3"/>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1.2.4.3 仪器维护方面</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为保证比对设备正常运行，确保自动监控系统内各仪器设备数据通讯的准确性，运维人员每周至少一次对设备进行正常巡检工作，巡检规定如下：</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（1）人员必须严格按照每周巡检工作周期计划表制定每天工作内容，合理安排，并认真执行，防止盲目性。</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（2）人员在日常巡检工作进行中必须做到：</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工作态度认真；</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操作程序规范；</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情况记录清楚；</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（3）做到安全工作第一，在进行有关操作时，务必穿戴有关劳防用品，车辆出勤，集中思想，认真驾驶，注意交通安全，防止一切意外事故发生。</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（4）日常巡检内容</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每周至少一次对设备进行正常巡检工作，主要工作包括站房基本功能检查、监测仪运行参数检查和维护、安全检查和卫生打扫等。</w:t>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2"/>
        <w:gridCol w:w="8382"/>
      </w:tblGrid>
      <w:tr>
        <w:trPr>
          <w:jc w:val="center"/>
          <w:tblHeader/>
        </w:trPr>
        <w:tc>
          <w:tcPr>
            <w:tcW w:w="588" w:type="pct"/>
            <w:vAlign w:val="center"/>
            <w:textDirection w:val="lrTb"/>
            <w:noWrap/>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项目</w:t>
            </w:r>
            <w:r/>
          </w:p>
        </w:tc>
        <w:tc>
          <w:tcPr>
            <w:tcW w:w="4412" w:type="pct"/>
            <w:vAlign w:val="center"/>
            <w:textDirection w:val="lrTb"/>
            <w:noWrap/>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7" w:name="_Toc25796"/>
            <w:r/>
            <w:bookmarkStart w:id="8" w:name="_Toc31241"/>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具体工作内容</w:t>
            </w:r>
            <w:bookmarkEnd w:id="7"/>
            <w:r/>
            <w:bookmarkEnd w:id="8"/>
            <w:r/>
            <w:r/>
          </w:p>
        </w:tc>
      </w:tr>
      <w:tr>
        <w:trPr>
          <w:jc w:val="center"/>
        </w:trPr>
        <w:tc>
          <w:tcPr>
            <w:tcW w:w="588" w:type="pct"/>
            <w:vAlign w:val="center"/>
            <w:textDirection w:val="lrTb"/>
            <w:noWrap/>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9" w:name="_Toc11323"/>
            <w:r/>
            <w:bookmarkStart w:id="10" w:name="_Toc24024"/>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站房基本功能及安全检查</w:t>
            </w:r>
            <w:bookmarkEnd w:id="9"/>
            <w:r/>
            <w:bookmarkEnd w:id="10"/>
            <w:r/>
            <w:r/>
          </w:p>
        </w:tc>
        <w:tc>
          <w:tcPr>
            <w:tcW w:w="4412" w:type="pct"/>
            <w:vAlign w:val="center"/>
            <w:textDirection w:val="lrTb"/>
            <w:noWrap/>
          </w:tcPr>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11" w:name="_Toc32149"/>
            <w:r/>
            <w:bookmarkStart w:id="12" w:name="_Toc8955"/>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(1)室内温湿度是否正常；</w:t>
            </w:r>
            <w:bookmarkEnd w:id="11"/>
            <w:r/>
            <w:bookmarkEnd w:id="12"/>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13" w:name="_Toc18407"/>
            <w:r/>
            <w:bookmarkStart w:id="14" w:name="_Toc4982"/>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(2)站房有无漏水、破损现象；</w:t>
            </w:r>
            <w:bookmarkEnd w:id="13"/>
            <w:r/>
            <w:bookmarkEnd w:id="14"/>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15" w:name="_Toc3826"/>
            <w:r/>
            <w:bookmarkStart w:id="16" w:name="_Toc4093"/>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(3)检查供电情况，保证系统的正常运行；</w:t>
            </w:r>
            <w:bookmarkEnd w:id="15"/>
            <w:r/>
            <w:bookmarkEnd w:id="16"/>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17" w:name="_Toc8677"/>
            <w:r/>
            <w:bookmarkStart w:id="18" w:name="_Toc583"/>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(4)检查排气扇是否正常运转、废气排放口管线等是否正常；</w:t>
            </w:r>
            <w:bookmarkEnd w:id="17"/>
            <w:r/>
            <w:bookmarkEnd w:id="18"/>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19" w:name="_Toc18731"/>
            <w:r/>
            <w:bookmarkStart w:id="20" w:name="_Toc18095"/>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(5)避雷及设备接地系统缆线固定是否牢固；</w:t>
            </w:r>
            <w:bookmarkEnd w:id="19"/>
            <w:r/>
            <w:bookmarkEnd w:id="20"/>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21" w:name="_Toc7503"/>
            <w:r/>
            <w:bookmarkStart w:id="22" w:name="_Toc21855"/>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(6)站房外爬梯是否牢固，爬梯护栏有无生锈情况；</w:t>
            </w:r>
            <w:bookmarkEnd w:id="21"/>
            <w:r/>
            <w:bookmarkEnd w:id="22"/>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23" w:name="_Toc1284"/>
            <w:r/>
            <w:bookmarkStart w:id="24" w:name="_Toc30498"/>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(7)站点周边有无新增或减少污染源（建筑工地、烟囱等）；</w:t>
            </w:r>
            <w:bookmarkEnd w:id="23"/>
            <w:r/>
            <w:bookmarkEnd w:id="24"/>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25" w:name="_Toc13537"/>
            <w:r/>
            <w:bookmarkStart w:id="26" w:name="_Toc32273"/>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(8)灭火器等安全设施是否在有效期内，压力是否正常。</w:t>
            </w:r>
            <w:bookmarkEnd w:id="25"/>
            <w:r/>
            <w:bookmarkEnd w:id="26"/>
            <w:r/>
            <w:r/>
          </w:p>
        </w:tc>
      </w:tr>
      <w:tr>
        <w:trPr>
          <w:jc w:val="center"/>
        </w:trPr>
        <w:tc>
          <w:tcPr>
            <w:tcW w:w="588" w:type="pct"/>
            <w:vAlign w:val="center"/>
            <w:textDirection w:val="lrTb"/>
            <w:noWrap/>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27" w:name="_Toc16318"/>
            <w:r/>
            <w:bookmarkStart w:id="28" w:name="_Toc1646"/>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设备功能参数检查及维护</w:t>
            </w:r>
            <w:bookmarkEnd w:id="27"/>
            <w:r/>
            <w:bookmarkEnd w:id="28"/>
            <w:r/>
            <w:r/>
          </w:p>
        </w:tc>
        <w:tc>
          <w:tcPr>
            <w:tcW w:w="4412" w:type="pct"/>
            <w:vAlign w:val="center"/>
            <w:textDirection w:val="lrTb"/>
            <w:noWrap/>
          </w:tcPr>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29" w:name="_Toc23677"/>
            <w:r/>
            <w:bookmarkStart w:id="30" w:name="_Toc24422"/>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技术人员对各仪器设备参数进行检查，主要工作内容如下：</w:t>
            </w:r>
            <w:bookmarkEnd w:id="29"/>
            <w:r/>
            <w:bookmarkEnd w:id="30"/>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31" w:name="_Toc1776"/>
            <w:r/>
            <w:bookmarkStart w:id="32" w:name="_Toc14891"/>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(1)查看设备是否齐备，是否有丢失和损坏；检查接地线路是否可靠，排风排气装置工作是否正常，标准气钢瓶阀门是否漏气，标准气的消耗情况；检查各仪器的运行状况，保证系统运行顺畅</w:t>
            </w:r>
            <w:bookmarkEnd w:id="31"/>
            <w:r/>
            <w:bookmarkEnd w:id="32"/>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w:t>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33" w:name="_Toc13631"/>
            <w:r/>
            <w:bookmarkStart w:id="34" w:name="_Toc9600"/>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(2)检查采样和排气管路是否有漏气或堵塞现象，各分析仪器采样流量是否正常</w:t>
            </w:r>
            <w:bookmarkEnd w:id="33"/>
            <w:r/>
            <w:bookmarkEnd w:id="34"/>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w:t>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35" w:name="_Toc6297"/>
            <w:r/>
            <w:bookmarkStart w:id="36" w:name="_Toc28278"/>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(3)检查监测仪器的采样入口与采样支路管线结合部之间安装的过滤膜的污染情况，每周更换滤膜；</w:t>
            </w:r>
            <w:bookmarkEnd w:id="35"/>
            <w:r/>
            <w:bookmarkEnd w:id="36"/>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37" w:name="_Toc18938"/>
            <w:r/>
            <w:bookmarkStart w:id="38" w:name="_Toc12390"/>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(4)对颗粒物的采样纸带或滤膜进行检查，如纸带即将用尽，及时进行更换；</w:t>
            </w:r>
            <w:bookmarkEnd w:id="37"/>
            <w:r/>
            <w:bookmarkEnd w:id="38"/>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39" w:name="_Toc18818"/>
            <w:r/>
            <w:bookmarkStart w:id="40" w:name="_Toc30350"/>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(5)对二氧化硫、一氧化碳、臭氧、氮氧化物分析仪进行零点及标点检查，如果漂移超过国家相关规范要求，需要进行手工校准。</w:t>
            </w:r>
            <w:bookmarkEnd w:id="39"/>
            <w:r/>
            <w:bookmarkEnd w:id="40"/>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41" w:name="_Toc16218"/>
            <w:r/>
            <w:bookmarkStart w:id="42" w:name="_Toc21605"/>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(6)在冬、夏季节应注意站点房室内外温差，若温差较大，应及时改变站房温度或对采样总管采取适当的控制措施，防止冷凝现象。</w:t>
            </w:r>
            <w:bookmarkEnd w:id="41"/>
            <w:r/>
            <w:bookmarkEnd w:id="42"/>
            <w:r/>
            <w:r/>
          </w:p>
        </w:tc>
      </w:tr>
      <w:tr>
        <w:trPr>
          <w:jc w:val="center"/>
          <w:trHeight w:val="1400"/>
        </w:trPr>
        <w:tc>
          <w:tcPr>
            <w:tcW w:w="588" w:type="pct"/>
            <w:vAlign w:val="center"/>
            <w:textDirection w:val="lrTb"/>
            <w:noWrap/>
          </w:tcPr>
          <w:p>
            <w:pPr>
              <w:jc w:val="center"/>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43" w:name="_Toc20493"/>
            <w:r/>
            <w:bookmarkStart w:id="44" w:name="_Toc24628"/>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仪器设备功能参数检查及维护</w:t>
            </w:r>
            <w:bookmarkEnd w:id="43"/>
            <w:r/>
            <w:bookmarkEnd w:id="44"/>
            <w:r/>
            <w:r/>
          </w:p>
        </w:tc>
        <w:tc>
          <w:tcPr>
            <w:tcW w:w="4412" w:type="pct"/>
            <w:vAlign w:val="center"/>
            <w:textDirection w:val="lrTb"/>
            <w:noWrap/>
          </w:tcPr>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45" w:name="_Toc18852"/>
            <w:r/>
            <w:bookmarkStart w:id="46" w:name="_Toc25273"/>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应针对个别仪表或仪表特殊部件进行详细检查和维护，具体内容有：</w:t>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（1）清洗PM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10</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和PM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2.5</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切割器，检查β法颗粒物分析仪仪器喷嘴、压环等部件，当出现AQI值大于等于200以上的重污染天气后，应在一周内清洗切割器；</w:t>
            </w:r>
            <w:bookmarkEnd w:id="45"/>
            <w:r/>
            <w:bookmarkEnd w:id="46"/>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bookmarkStart w:id="47" w:name="_Toc31720"/>
            <w:r/>
            <w:bookmarkStart w:id="48" w:name="_Toc32666"/>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（2)检查PM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10</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和PM</w:t>
            </w:r>
            <w:r>
              <w:rPr>
                <w:rFonts w:hint="eastAsia" w:ascii="宋体" w:hAnsi="宋体" w:eastAsia="宋体" w:cs="宋体"/>
                <w:color w:val="000000"/>
                <w:sz w:val="24"/>
                <w:szCs w:val="24"/>
                <w:highlight w:val="none"/>
                <w:vertAlign w:val="subscript"/>
                <w14:textFill>
                  <w14:solidFill>
                    <w14:srgbClr w14:val="000000">
                      <w14:lumMod w14:val="85000"/>
                      <w14:lumOff w14:val="15000"/>
                    </w14:srgbClr>
                  </w14:solidFill>
                </w14:textFill>
              </w:rPr>
              <w:t xml:space="preserve">2.5</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监测仪、气态分析仪、动态校准仪流量，如果超过国家相关规范要求，需要进行校准，检查仪器是否漏气；</w:t>
            </w:r>
            <w:bookmarkEnd w:id="47"/>
            <w:r/>
            <w:bookmarkEnd w:id="48"/>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（3）清洗一次采样总管及采样风机；</w:t>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（4）对颗粒物分析仪检测湿度和温度传感器、检查动态加热装置是否正常工作；</w:t>
            </w:r>
            <w:r/>
          </w:p>
          <w:p>
            <w:pPr>
              <w:jc w:val="left"/>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（5）站点的消防设施进行检查，保证在有效期内；</w:t>
            </w:r>
            <w:r/>
          </w:p>
        </w:tc>
      </w:tr>
    </w:tbl>
    <w:p>
      <w:p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3"/>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1.2.4.4 异常处理方面</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保证仪器故障发生时间4小时内（8:00-22:00）或8小时内（23:00-7:00）赶到现场进行处理。对于一些易于排除的故障，维修时间不超过1小时；对不易诊断和维修的仪器故障，若4小时内无法排除，则更换备用仪器。</w:t>
      </w:r>
      <w:r/>
    </w:p>
    <w:p>
      <w:p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3"/>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1.2.4.5 其他</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比对监测等相关工作完成后，应编制点位调整技术方案并经论证后另行报送省厅，经批复同意后开展站点搬迁工作。</w:t>
      </w:r>
      <w:r/>
    </w:p>
    <w:p>
      <w:pPr>
        <w:numPr>
          <w:ilvl w:val="1"/>
          <w:numId w:val="0"/>
        </w:num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1"/>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1.3 设备搬迁</w:t>
      </w:r>
      <w:r/>
    </w:p>
    <w:p>
      <w:pPr>
        <w:numPr>
          <w:ilvl w:val="0"/>
          <w:numId w:val="1"/>
        </w:num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搬迁要求：经批复同意后，在批复允许时间内完成搬迁。</w:t>
      </w:r>
      <w:r/>
    </w:p>
    <w:p>
      <w:pPr>
        <w:numPr>
          <w:ilvl w:val="0"/>
          <w:numId w:val="1"/>
        </w:num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设备搬迁包括设备安装、管路连接（包含吊装仪器），中标人在安装完成后需对设备进行一次调试检测。</w:t>
      </w:r>
      <w:r/>
    </w:p>
    <w:p>
      <w:pPr>
        <w:numPr>
          <w:ilvl w:val="1"/>
          <w:numId w:val="0"/>
        </w:num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1"/>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1.4 新建站房及辅助设施</w:t>
      </w:r>
      <w:r/>
    </w:p>
    <w:p>
      <w:pPr>
        <w:numPr>
          <w:ilvl w:val="2"/>
          <w:numId w:val="0"/>
        </w:num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2"/>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1.4.1 站房主体</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站房由缓冲间、监测设备间和采样平台共 3 个部分组成。</w:t>
      </w:r>
      <w:r/>
    </w:p>
    <w:p>
      <w:p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3"/>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1.4.1.1 站房主体技术参数</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（1）应确保站房结构及建设地无安全隐患，进入站房及采样区域安全便利。站房建设在可以承重的已有建筑物上，建筑物应满足《建筑结构荷载规范》（GB 50009）的要求，设计及选材应满足 10 年以上使用要求。</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（2）采用方舱结构，可整体吊装；楼梯和站房</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主体可以分别吊装。站房外部尺寸不小于 7.0m×3.2m×2.8m，内部尺寸不小于 6.8m×3.0m×2.6m。站房建筑材料燃烧性能需达到 A 级耐火等级，芯材应采用高保温材料，满足保温、隔热、隔音要求；内外蒙皮应采用铝型材板材；芯材采用聚氨酯高密度保温材料或超厚聚苯乙烯保温材料，达到保温、隔热、隔音的效果。站房建设参照 《建筑结构荷载规范》（GB 50009）、《建筑抗震设计规范》（GB 50011）、 《钢结构设计标准》（GB 50017）、《轻型模块化钢结构组合房屋技术标准》（JGJ/T 466）。</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（3）站房设置缓冲间，并保持常闭状态，防止灰尘和泥土带入监测设备间。</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（4）站房有防水措施，站房内地面应离地表（或建筑房顶）有 25cm 以上的距离，站房内地面应具有防滑、阻燃设计。</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（5）站房内设置气态监测仪器废气排出装置，气态监测仪器排气口连接到废气排出装置；废气排除装置排出口和颗粒物采样装置抽气风机排气口应设置在靠近站房下部的墙壁上，离站房内地面的距离应在 20cm 以上。</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（6）监测设备安装在机柜（架）内，机柜（架）应稳定、牢固、可靠、不易倾倒；机柜（架）与墙壁之间的距离不小于1m，便于运维人员在机柜（架）侧面、后面开展运维工作。</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（7）站房房顶应为平面结构，坡度不大于10°，无渗漏或塌陷，房顶承重要求大于等于250kg/m</w:t>
      </w:r>
      <w:r>
        <w:rPr>
          <w:rFonts w:hint="eastAsia" w:ascii="宋体" w:hAnsi="宋体" w:eastAsia="宋体" w:cs="宋体"/>
          <w:color w:val="000000"/>
          <w:sz w:val="24"/>
          <w:szCs w:val="24"/>
          <w:highlight w:val="none"/>
          <w:vertAlign w:val="superscript"/>
          <w14:textFill>
            <w14:solidFill>
              <w14:srgbClr w14:val="000000">
                <w14:lumMod w14:val="85000"/>
                <w14:lumOff w14:val="15000"/>
              </w14:srgbClr>
            </w14:solidFill>
          </w14:textFill>
        </w:rPr>
        <w:t xml:space="preserve">2</w:t>
      </w: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。房顶应做防水处理；房顶应安装防滑人行步道，保护人员 安全，防止屋顶变形。站房应配备通往房顶的Z字型梯或旋梯。 </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（8）站房需设置必要的防盗措施，安装防盗门。</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（9）站房室内应有照明设施。</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（10）应设置符合规定的站点标识牌，并在站房及采样区域明显位置设置警示牌，禁止非运维人员进入。</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（11）工作台与工作椅：工作台一张，面积至少1.1m×0.6m，工作台下放置2 个小储藏柜，供操作维护人员放置记录本、物品及修护工作用、工作椅一张。</w:t>
      </w:r>
      <w:r/>
    </w:p>
    <w:p>
      <w:p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3"/>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1.4.1.2 站房电力</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（1）站房供电系统应配有配电柜、电源过压和过载保护装置，电源接入系统应采用三相五线制缆线敷设方式，电源电压 380V，频率波动不超过（50±1）Hz，用电功率根据需求配备合理的用电负荷。配电时应尽量三相平衡使用。</w:t>
      </w:r>
      <w:r/>
    </w:p>
    <w:p>
      <w:pPr>
        <w:ind w:firstLine="480"/>
        <w:spacing w:line="520" w:lineRule="exact"/>
        <w:rPr>
          <w:rFonts w:hint="eastAsia" w:ascii="宋体" w:hAnsi="宋体" w:eastAsia="宋体" w:cs="宋体"/>
          <w:color w:val="000000"/>
          <w:sz w:val="24"/>
          <w:szCs w:val="24"/>
          <w:highlight w:val="none"/>
          <w:lang w:bidi="ar"/>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w:t>
      </w:r>
      <w:r>
        <w:rPr>
          <w:rFonts w:hint="eastAsia" w:ascii="宋体" w:hAnsi="宋体" w:eastAsia="宋体" w:cs="宋体"/>
          <w:color w:val="000000"/>
          <w:sz w:val="24"/>
          <w:szCs w:val="24"/>
          <w:highlight w:val="none"/>
          <w:lang w:bidi="ar"/>
          <w14:textFill>
            <w14:solidFill>
              <w14:srgbClr w14:val="000000">
                <w14:lumMod w14:val="85000"/>
                <w14:lumOff w14:val="15000"/>
              </w14:srgbClr>
            </w14:solidFill>
          </w14:textFill>
        </w:rPr>
        <w:t xml:space="preserve">站房应依据电工要求制作保护地线，用于机柜、仪器外壳和有要求接地装置的接地保护，接地电阻小于 4Ω。 </w:t>
      </w:r>
      <w:r/>
    </w:p>
    <w:p>
      <w:pPr>
        <w:ind w:firstLine="480"/>
        <w:jc w:val="left"/>
        <w:spacing w:line="520" w:lineRule="exact"/>
        <w:widowControl/>
        <w:rPr>
          <w:rFonts w:hint="eastAsia" w:ascii="宋体" w:hAnsi="宋体" w:eastAsia="宋体" w:cs="宋体"/>
          <w:color w:val="000000"/>
          <w:sz w:val="24"/>
          <w:szCs w:val="24"/>
          <w:highlight w:val="none"/>
          <w:lang w:bidi="ar"/>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lang w:bidi="ar"/>
          <w14:textFill>
            <w14:solidFill>
              <w14:srgbClr w14:val="000000">
                <w14:lumMod w14:val="85000"/>
                <w14:lumOff w14:val="15000"/>
              </w14:srgbClr>
            </w14:solidFill>
          </w14:textFill>
        </w:rPr>
        <w:t xml:space="preserve">（3）站房应按照用电容量配置电线，采用的电线电缆及附件均应符合国家现行技术标准的规定，并有合格证；对有抗干扰要求的电缆线路，应按要求采取抗干扰措施；线路要求走线美观，布线应加装线槽。</w:t>
      </w:r>
      <w:r/>
    </w:p>
    <w:p>
      <w:pPr>
        <w:ind w:firstLine="480"/>
        <w:jc w:val="left"/>
        <w:spacing w:line="520" w:lineRule="exact"/>
        <w:widowControl/>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lang w:bidi="ar"/>
          <w14:textFill>
            <w14:solidFill>
              <w14:srgbClr w14:val="000000">
                <w14:lumMod w14:val="85000"/>
                <w14:lumOff w14:val="15000"/>
              </w14:srgbClr>
            </w14:solidFill>
          </w14:textFill>
        </w:rPr>
        <w:t xml:space="preserve">（4）采样平台应配备电路专线，并预留插座，用于开展室外监测。 </w:t>
      </w:r>
      <w:r/>
    </w:p>
    <w:p>
      <w:pPr>
        <w:ind w:firstLine="480"/>
        <w:jc w:val="left"/>
        <w:spacing w:line="520" w:lineRule="exact"/>
        <w:widowControl/>
        <w:rPr>
          <w:rFonts w:hint="eastAsia" w:ascii="宋体" w:hAnsi="宋体" w:eastAsia="宋体" w:cs="宋体"/>
          <w:color w:val="000000"/>
          <w:sz w:val="24"/>
          <w:szCs w:val="24"/>
          <w:highlight w:val="none"/>
          <w:lang w:bidi="ar"/>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lang w:bidi="ar"/>
          <w14:textFill>
            <w14:solidFill>
              <w14:srgbClr w14:val="000000">
                <w14:lumMod w14:val="85000"/>
                <w14:lumOff w14:val="15000"/>
              </w14:srgbClr>
            </w14:solidFill>
          </w14:textFill>
        </w:rPr>
        <w:t xml:space="preserve">（5）室外配电箱和插座需满足防水、防尘、防腐的要求，配电箱外壳可靠接地。</w:t>
      </w:r>
      <w:r/>
    </w:p>
    <w:p>
      <w:p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3"/>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1.4.1.3 安全围栏 </w:t>
      </w:r>
      <w:r/>
    </w:p>
    <w:p>
      <w:pPr>
        <w:ind w:firstLine="480"/>
        <w:jc w:val="left"/>
        <w:spacing w:line="520" w:lineRule="exact"/>
        <w:widowControl/>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lang w:bidi="ar"/>
          <w14:textFill>
            <w14:solidFill>
              <w14:srgbClr w14:val="000000">
                <w14:lumMod w14:val="85000"/>
                <w14:lumOff w14:val="15000"/>
              </w14:srgbClr>
            </w14:solidFill>
          </w14:textFill>
        </w:rPr>
        <w:t xml:space="preserve">站房实现封闭管理，在站房周边 3～5m 处安装不低于 1.8m 高栅栏；采样平台应安装不低于 1.2m 高护栏。 登舱梯与顶部护栏需采用安全系数较高的材质，长期使用不会出现腐蚀、生锈等情况。</w:t>
      </w:r>
      <w:r/>
    </w:p>
    <w:p>
      <w:p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3"/>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1.4.1.4 站房文化建设</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文化建设包括点位标识牌和警示牌，参考《国家城市环境空气质量监测点位站房标准化建设技术规定(试行)》执行。</w:t>
      </w:r>
      <w:r/>
    </w:p>
    <w:p>
      <w:p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3"/>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1.4.1.5 消防设备</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（1）配备1个悬挂式自动灭火器（≥8kg）和1个手持式灭火器。</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（2）灭火材料对人体和设备无害。</w:t>
      </w:r>
      <w:r/>
    </w:p>
    <w:p>
      <w:p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3"/>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1.4.1.6 基础设施建设 </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主要包含电源接入、网络（有线、无线均可），钢结构基础，顶管施工、站房防水等所有基础设施建设。 </w:t>
      </w:r>
      <w:r/>
    </w:p>
    <w:p>
      <w:pPr>
        <w:numPr>
          <w:ilvl w:val="2"/>
          <w:numId w:val="0"/>
        </w:num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2"/>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1.4.2 防雷</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（1）站房应配备防雷设备，包括站房防雷、设备防雷、电源防雷、信号防雷，防雷接地装置的选材和安装应参照《通信局（站）防雷与接地工程设计规范》 （GB 50689）的相关要求。 </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（2）对于依托在现有建筑物上的站房，如果现有建筑物防雷接地电阻小于4Ω，且仪器设备位于该建筑物避雷针保护范围内，无需单独配备站房防雷；否则，应单独配备站房防雷。 </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（3）室外信号线应采用屏蔽电缆，电缆屏蔽层应接地，且接地电阻不应大10 Ω。 </w:t>
      </w:r>
      <w:r/>
    </w:p>
    <w:p>
      <w:pPr>
        <w:numPr>
          <w:ilvl w:val="2"/>
          <w:numId w:val="0"/>
        </w:numPr>
        <w:ind w:firstLine="482"/>
        <w:spacing w:before="120" w:after="120" w:line="520" w:lineRule="exact"/>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outlineLvl w:val="2"/>
      </w:pPr>
      <w:r>
        <w:rPr>
          <w:rFonts w:hint="eastAsia" w:ascii="宋体" w:hAnsi="宋体" w:eastAsia="宋体" w:cs="宋体"/>
          <w:b/>
          <w:bCs/>
          <w:color w:val="000000"/>
          <w:sz w:val="24"/>
          <w:szCs w:val="24"/>
          <w:highlight w:val="none"/>
          <w14:textFill>
            <w14:solidFill>
              <w14:srgbClr w14:val="000000">
                <w14:lumMod w14:val="85000"/>
                <w14:lumOff w14:val="15000"/>
              </w14:srgbClr>
            </w14:solidFill>
          </w14:textFill>
        </w:rPr>
        <w:t xml:space="preserve">1.4.3 机柜</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（1）材质：优质冷轧钢板，选材厚度1.5mm以上。</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（2）托盘：可灵活调节托盘距离。</w:t>
      </w:r>
      <w:r/>
    </w:p>
    <w:p>
      <w:pPr>
        <w:ind w:firstLine="480"/>
        <w:spacing w:line="520" w:lineRule="exact"/>
        <w:rPr>
          <w:rFonts w:hint="eastAsia" w:ascii="宋体" w:hAnsi="宋体" w:eastAsia="宋体" w:cs="宋体"/>
          <w:color w:val="000000"/>
          <w:sz w:val="24"/>
          <w:szCs w:val="24"/>
          <w:highlight w:val="none"/>
          <w14:textFill>
            <w14:solidFill>
              <w14:srgbClr w14:val="000000">
                <w14:lumMod w14:val="85000"/>
                <w14:lumOff w14:val="15000"/>
              </w14:srgbClr>
            </w14:solidFill>
          </w14:textFill>
        </w:rPr>
      </w:pPr>
      <w:r>
        <w:rPr>
          <w:rFonts w:hint="eastAsia" w:ascii="宋体" w:hAnsi="宋体" w:eastAsia="宋体" w:cs="宋体"/>
          <w:color w:val="000000"/>
          <w:sz w:val="24"/>
          <w:szCs w:val="24"/>
          <w:highlight w:val="none"/>
          <w14:textFill>
            <w14:solidFill>
              <w14:srgbClr w14:val="000000">
                <w14:lumMod w14:val="85000"/>
                <w14:lumOff w14:val="15000"/>
              </w14:srgbClr>
            </w14:solidFill>
          </w14:textFill>
        </w:rPr>
        <w:t xml:space="preserve">（3）机柜尺寸：保证主流机型上架。</w:t>
      </w:r>
      <w:bookmarkEnd w:id="6"/>
      <w:r/>
      <w:r/>
    </w:p>
    <w:p>
      <w:pPr>
        <w:ind w:firstLine="482"/>
        <w:jc w:val="left"/>
        <w:spacing w:line="480" w:lineRule="exact"/>
        <w:shd w:val="clear" w:color="auto" w:fill="ffff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三、人员配备要求</w:t>
      </w:r>
      <w:r/>
    </w:p>
    <w:p>
      <w:pPr>
        <w:ind w:firstLine="480"/>
        <w:spacing w:line="480" w:lineRule="exact"/>
        <w:rPr>
          <w:rFonts w:hint="eastAsia" w:ascii="宋体" w:hAnsi="宋体" w:eastAsia="宋体" w:cs="宋体"/>
          <w:b/>
          <w:sz w:val="24"/>
          <w:szCs w:val="24"/>
          <w:highlight w:val="none"/>
        </w:rPr>
      </w:pPr>
      <w:r>
        <w:rPr>
          <w:rFonts w:hint="eastAsia" w:ascii="宋体" w:hAnsi="宋体" w:eastAsia="宋体" w:cs="宋体"/>
          <w:i/>
          <w:iCs/>
          <w:sz w:val="24"/>
          <w:szCs w:val="24"/>
          <w:highlight w:val="none"/>
          <w:u w:val="single"/>
        </w:rPr>
        <w:t xml:space="preserve">供应商需为本项目配备项目经理1名、项目技术负责人1名、至少2名以上比对期间运维人员</w:t>
      </w:r>
      <w:r>
        <w:rPr>
          <w:rFonts w:hint="eastAsia" w:ascii="宋体" w:hAnsi="宋体" w:eastAsia="宋体" w:cs="宋体"/>
          <w:sz w:val="24"/>
          <w:szCs w:val="24"/>
          <w:highlight w:val="none"/>
        </w:rPr>
        <w:t xml:space="preserve">。</w:t>
      </w:r>
      <w:r/>
    </w:p>
    <w:p>
      <w:pPr>
        <w:ind w:firstLine="562"/>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四、服务期限</w:t>
      </w:r>
      <w:r/>
    </w:p>
    <w:p>
      <w:pPr>
        <w:ind w:firstLine="480"/>
        <w:spacing w:line="480" w:lineRule="exact"/>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自合同签订之日起60日历天内完成。</w:t>
      </w:r>
      <w:r/>
    </w:p>
    <w:p>
      <w:pPr>
        <w:ind w:firstLine="562"/>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五、服务标准（或成果要求）</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按照采购文件要求实施（前文已做详细要求），符合国家标准、行业标准、地方标准或者其他标准、规范，达到采购人验收合格标准。</w:t>
      </w:r>
      <w:r/>
    </w:p>
    <w:p>
      <w:pPr>
        <w:ind w:firstLine="562"/>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六、知识产权归属和处理方式</w:t>
      </w:r>
      <w:r/>
    </w:p>
    <w:p>
      <w:pPr>
        <w:ind w:firstLine="480"/>
        <w:jc w:val="both"/>
        <w:spacing w:beforeAutospacing="0" w:afterAutospacing="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1、本项目服务期限内涉及的所有成果、知识产权归采购人所有，成交供应商不得在项目实施过程中获取的相关内容及成果用于其它用途。   </w:t>
      </w:r>
      <w:r/>
    </w:p>
    <w:p>
      <w:pPr>
        <w:ind w:firstLine="480"/>
        <w:jc w:val="both"/>
        <w:spacing w:beforeAutospacing="0" w:afterAutospacing="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证采购人不受到第三方关于侵犯知识产权及专利权、商标权或工业设计权等知识产权方面的指控，任何第三方如果提出此方面指控均与采购人无关，成交供应商应与第三方交涉，并承担可能发生的一切法律责任、费用和后果。若采购人因此而遭致损失，则成交供应商赔偿该损失。</w:t>
      </w:r>
      <w:r/>
    </w:p>
    <w:p>
      <w:pPr>
        <w:ind w:firstLine="482"/>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七、履约验收</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省生态环境厅关于印发“十五五”省控地表水、空气和地下水环境质量监测网优化调整工作方案的通知》、《环境空气质量监测点位布设技术规范》(HJ664-2013 )技术规范以及与本项目相关要求规定及乙方实施方案由采购人组织验收。</w:t>
      </w:r>
      <w:r/>
    </w:p>
    <w:p>
      <w:pPr>
        <w:ind w:firstLine="562"/>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八、付款方式与履约保证金</w:t>
      </w:r>
      <w:r/>
    </w:p>
    <w:p>
      <w:pPr>
        <w:ind w:firstLine="480"/>
        <w:jc w:val="left"/>
        <w:spacing w:line="48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1、付款方式</w:t>
      </w:r>
      <w:r/>
    </w:p>
    <w:p>
      <w:pPr>
        <w:ind w:firstLine="480"/>
        <w:jc w:val="left"/>
        <w:spacing w:line="480" w:lineRule="exact"/>
        <w:rPr>
          <w:rFonts w:hint="eastAsia" w:ascii="宋体" w:hAnsi="宋体" w:eastAsia="宋体" w:cs="宋体"/>
          <w:i/>
          <w:iCs/>
          <w:sz w:val="24"/>
          <w:szCs w:val="24"/>
          <w:highlight w:val="none"/>
          <w:u w:val="single"/>
        </w:rPr>
      </w:pPr>
      <w:r>
        <w:rPr>
          <w:rFonts w:hint="eastAsia" w:ascii="宋体" w:hAnsi="宋体" w:eastAsia="宋体" w:cs="Times New Roman"/>
          <w:i/>
          <w:iCs/>
          <w:sz w:val="24"/>
          <w:szCs w:val="24"/>
          <w:highlight w:val="none"/>
          <w:u w:val="single"/>
        </w:rPr>
        <w:t xml:space="preserve">合同签订后，采购人支付合同价款的10%作为预付款；验收合格后支付至合同金额的100%，服务期满后10个工作日内支付尾款。</w:t>
      </w:r>
      <w:r/>
    </w:p>
    <w:p>
      <w:pPr>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2、履约保证金</w:t>
      </w:r>
      <w:r/>
    </w:p>
    <w:p>
      <w:pPr>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本项目不收取履约保证金。</w:t>
      </w:r>
      <w:r/>
    </w:p>
    <w:p>
      <w:pPr>
        <w:ind w:firstLine="482"/>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九、报价要求</w:t>
      </w:r>
      <w:r/>
    </w:p>
    <w:p>
      <w:pPr>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报价内容应包括但不限于技术服务费、设备搬迁费用、新建站房及辅助设施等建设费用、安装调试费、人员薪资、加班费、临时突击费用、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w:t>
      </w:r>
      <w:r/>
    </w:p>
    <w:p>
      <w:pPr>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2.供应商应对所投项目的全部内容进行报价，完成采购文件规定的服务工作所涉及到的一切相关费用。</w:t>
      </w:r>
      <w:r/>
    </w:p>
    <w:p>
      <w:pPr>
        <w:ind w:firstLine="482"/>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十、其他</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本项目报价不得超过预算价（最高限价）。</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特别提醒供应商：应根据国家收费标准并结合市场实际进行报价，总价包干。</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工作中涉及的敏感资料、电子数据等相关信息，成交供应商应严格执行保密的相关规定，不得以任何方式向任何第三人披露、泄露或许可第三人使用，否则追究其相应法律责任。</w:t>
      </w:r>
      <w:r/>
    </w:p>
    <w:p>
      <w:pPr>
        <w:ind w:firstLine="480"/>
        <w:spacing w:line="360" w:lineRule="auto"/>
        <w:rPr>
          <w:rFonts w:ascii="Calibri" w:hAnsi="Calibri" w:eastAsia="宋体" w:cs="Times New Roman"/>
          <w:sz w:val="24"/>
          <w:szCs w:val="22"/>
          <w:highlight w:val="none"/>
        </w:rPr>
      </w:pPr>
      <w:r>
        <w:rPr>
          <w:rFonts w:ascii="Calibri" w:hAnsi="Calibri" w:eastAsia="宋体" w:cs="Times New Roman"/>
          <w:sz w:val="24"/>
          <w:szCs w:val="22"/>
          <w:highlight w:val="none"/>
        </w:rPr>
      </w:r>
      <w:r/>
    </w:p>
    <w:p>
      <w:pPr>
        <w:ind w:firstLine="480"/>
        <w:spacing w:line="360" w:lineRule="auto"/>
        <w:rPr>
          <w:rFonts w:ascii="Calibri" w:hAnsi="Calibri" w:eastAsia="宋体" w:cs="Times New Roman"/>
          <w:sz w:val="24"/>
          <w:szCs w:val="22"/>
          <w:highlight w:val="none"/>
        </w:rPr>
      </w:pPr>
      <w:r>
        <w:rPr>
          <w:rFonts w:ascii="Calibri" w:hAnsi="Calibri" w:eastAsia="宋体" w:cs="Times New Roman"/>
          <w:sz w:val="24"/>
          <w:szCs w:val="22"/>
          <w:highlight w:val="none"/>
        </w:rPr>
      </w:r>
      <w:r/>
    </w:p>
    <w:p>
      <w:pPr>
        <w:jc w:val="center"/>
        <w:keepLines/>
        <w:keepNext/>
        <w:spacing w:before="156" w:after="156" w:line="360" w:lineRule="auto"/>
        <w:widowControl w:val="off"/>
        <w:rPr>
          <w:rFonts w:hint="eastAsia" w:ascii="黑体" w:hAnsi="黑体" w:eastAsia="黑体" w:cs="Times New Roman"/>
          <w:b w:val="0"/>
          <w:bCs/>
          <w:sz w:val="44"/>
          <w:szCs w:val="44"/>
          <w:highlight w:val="none"/>
          <w:lang w:val="en-US" w:eastAsia="zh-CN" w:bidi="ar-SA"/>
        </w:rPr>
        <w:outlineLvl w:val="0"/>
      </w:pPr>
      <w:r/>
      <w:bookmarkStart w:id="49" w:name="_Toc20506"/>
      <w:r/>
      <w:bookmarkStart w:id="50" w:name="_Toc161932695"/>
      <w:r>
        <w:rPr>
          <w:rFonts w:hint="eastAsia" w:ascii="黑体" w:hAnsi="黑体" w:eastAsia="黑体" w:cs="Times New Roman"/>
          <w:b w:val="0"/>
          <w:bCs/>
          <w:sz w:val="44"/>
          <w:szCs w:val="44"/>
          <w:highlight w:val="none"/>
          <w:lang w:val="en-US" w:eastAsia="zh-CN" w:bidi="ar-SA"/>
        </w:rPr>
        <w:t xml:space="preserve">第五章  评审方法与评审标准</w:t>
      </w:r>
      <w:bookmarkEnd w:id="49"/>
      <w:r/>
      <w:bookmarkEnd w:id="50"/>
      <w:r/>
      <w:r/>
    </w:p>
    <w:p>
      <w:pPr>
        <w:ind w:firstLine="480"/>
        <w:jc w:val="left"/>
        <w:spacing w:line="500" w:lineRule="exact"/>
        <w:rPr>
          <w:rFonts w:hint="eastAsia" w:ascii="黑体" w:hAnsi="黑体" w:eastAsia="黑体" w:cs="Times New Roman"/>
          <w:sz w:val="24"/>
          <w:szCs w:val="24"/>
          <w:highlight w:val="none"/>
        </w:rPr>
      </w:pPr>
      <w:r>
        <w:rPr>
          <w:rFonts w:hint="eastAsia" w:ascii="黑体" w:hAnsi="黑体" w:eastAsia="黑体" w:cs="Times New Roman"/>
          <w:sz w:val="24"/>
          <w:szCs w:val="24"/>
          <w:highlight w:val="none"/>
        </w:rPr>
        <w:t xml:space="preserve">一、评审方法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hint="eastAsia" w:ascii="黑体" w:hAnsi="黑体" w:eastAsia="黑体" w:cs="Times New Roman"/>
          <w:sz w:val="24"/>
          <w:szCs w:val="24"/>
          <w:highlight w:val="none"/>
        </w:rPr>
      </w:pPr>
      <w:r>
        <w:rPr>
          <w:rFonts w:ascii="黑体" w:hAnsi="黑体" w:eastAsia="黑体" w:cs="Times New Roman"/>
          <w:sz w:val="24"/>
          <w:szCs w:val="24"/>
          <w:highlight w:val="none"/>
        </w:rPr>
        <w:t xml:space="preserve">二、评审标准</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（2）本项目评分总分为100分，按四舍五入取至小数点后两位。</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（3）总得分=价格分+技术分+商务分。</w:t>
      </w:r>
      <w:r/>
    </w:p>
    <w:p>
      <w:pPr>
        <w:ind w:firstLine="643"/>
        <w:jc w:val="center"/>
        <w:spacing w:before="120" w:after="120" w:line="400" w:lineRule="exact"/>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t xml:space="preserve">综合评分法</w:t>
      </w:r>
      <w:r/>
    </w:p>
    <w:p>
      <w:pPr>
        <w:ind w:firstLine="482"/>
        <w:jc w:val="left"/>
        <w:spacing w:before="120" w:after="120" w:line="480" w:lineRule="exact"/>
        <w:widowControl w:val="off"/>
        <w:rPr>
          <w:rFonts w:hint="eastAsia" w:ascii="宋体" w:hAnsi="宋体" w:eastAsia="宋体" w:cs="宋体"/>
          <w:b/>
          <w:bCs/>
          <w:sz w:val="24"/>
          <w:szCs w:val="24"/>
          <w:highlight w:val="none"/>
          <w:lang w:val="en-US" w:eastAsia="zh-CN" w:bidi="ar-SA"/>
        </w:rPr>
      </w:pPr>
      <w:r/>
      <w:bookmarkStart w:id="51" w:name="_Toc161932696"/>
      <w:r/>
      <w:bookmarkStart w:id="52" w:name="_Toc24829"/>
      <w:r>
        <w:rPr>
          <w:rFonts w:hint="eastAsia" w:ascii="宋体" w:hAnsi="宋体" w:eastAsia="宋体" w:cs="宋体"/>
          <w:b/>
          <w:bCs/>
          <w:sz w:val="24"/>
          <w:szCs w:val="24"/>
          <w:highlight w:val="none"/>
          <w:lang w:val="en-US" w:eastAsia="zh-CN" w:bidi="ar-SA"/>
        </w:rPr>
        <w:t xml:space="preserve">一、价格分：20分</w:t>
      </w:r>
      <w:r/>
    </w:p>
    <w:p>
      <w:pPr>
        <w:ind w:firstLine="480"/>
        <w:jc w:val="left"/>
        <w:spacing w:before="120" w:after="120" w:line="48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120" w:after="120" w:line="48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磋商报价得分=（磋商基准价/最后磋商报价）×20分</w:t>
      </w:r>
      <w:r/>
    </w:p>
    <w:p>
      <w:pPr>
        <w:ind w:firstLine="480"/>
        <w:jc w:val="left"/>
        <w:spacing w:before="120" w:after="120" w:line="48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项目评审过程中，不得去掉最后报价中的最高报价和最低报价，结果保留两位小数。</w:t>
      </w:r>
      <w:r/>
    </w:p>
    <w:p>
      <w:pPr>
        <w:ind w:firstLine="482"/>
        <w:jc w:val="left"/>
        <w:spacing w:line="48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二、商务技术分：</w:t>
      </w:r>
      <w:r>
        <w:rPr>
          <w:rFonts w:hint="eastAsia" w:ascii="宋体" w:hAnsi="宋体" w:eastAsia="宋体" w:cs="宋体"/>
          <w:b/>
          <w:sz w:val="24"/>
          <w:szCs w:val="24"/>
          <w:highlight w:val="none"/>
          <w:lang w:val="en-US" w:eastAsia="zh-CN"/>
        </w:rPr>
        <w:t xml:space="preserve">80</w:t>
      </w:r>
      <w:r>
        <w:rPr>
          <w:rFonts w:hint="eastAsia" w:ascii="宋体" w:hAnsi="宋体" w:eastAsia="宋体" w:cs="宋体"/>
          <w:b/>
          <w:sz w:val="24"/>
          <w:szCs w:val="24"/>
          <w:highlight w:val="none"/>
        </w:rPr>
        <w:t xml:space="preserve">分</w:t>
      </w:r>
      <w:r/>
    </w:p>
    <w:tbl>
      <w:tblPr>
        <w:tblStyle w:val="864"/>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026"/>
        <w:gridCol w:w="752"/>
        <w:gridCol w:w="7266"/>
      </w:tblGrid>
      <w:tr>
        <w:trPr>
          <w:jc w:val="center"/>
          <w:trHeight w:val="553"/>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b/>
                <w:sz w:val="24"/>
                <w:szCs w:val="24"/>
                <w:highlight w:val="none"/>
              </w:rPr>
              <w:outlineLvl w:val="0"/>
            </w:pPr>
            <w:r/>
            <w:bookmarkStart w:id="53" w:name="_Toc4240"/>
            <w:r>
              <w:rPr>
                <w:rFonts w:hint="eastAsia" w:ascii="宋体" w:hAnsi="宋体" w:eastAsia="宋体" w:cs="宋体"/>
                <w:sz w:val="24"/>
                <w:szCs w:val="24"/>
                <w:highlight w:val="none"/>
              </w:rPr>
              <w:t xml:space="preserve">序号</w:t>
            </w:r>
            <w:bookmarkEnd w:id="53"/>
            <w:r/>
            <w:r/>
          </w:p>
        </w:tc>
        <w:tc>
          <w:tcPr>
            <w:tcBorders>
              <w:top w:val="single" w:color="auto" w:sz="4" w:space="0"/>
              <w:left w:val="none" w:color="000000" w:sz="4" w:space="0"/>
              <w:bottom w:val="single" w:color="auto" w:sz="4" w:space="0"/>
              <w:right w:val="single" w:color="auto" w:sz="4" w:space="0"/>
            </w:tcBorders>
            <w:tcW w:w="1026" w:type="dxa"/>
            <w:vAlign w:val="center"/>
            <w:textDirection w:val="lrTb"/>
            <w:noWrap/>
          </w:tcPr>
          <w:p>
            <w:pPr>
              <w:spacing w:line="480" w:lineRule="exact"/>
              <w:rPr>
                <w:rFonts w:hint="eastAsia" w:ascii="宋体" w:hAnsi="宋体" w:eastAsia="宋体" w:cs="宋体"/>
                <w:sz w:val="24"/>
                <w:szCs w:val="24"/>
                <w:highlight w:val="none"/>
              </w:rPr>
              <w:outlineLvl w:val="0"/>
            </w:pPr>
            <w:r/>
            <w:bookmarkStart w:id="54" w:name="_Toc32514"/>
            <w:r>
              <w:rPr>
                <w:rFonts w:hint="eastAsia" w:ascii="宋体" w:hAnsi="宋体" w:eastAsia="宋体" w:cs="宋体"/>
                <w:sz w:val="24"/>
                <w:szCs w:val="24"/>
                <w:highlight w:val="none"/>
              </w:rPr>
              <w:t xml:space="preserve">评审</w:t>
            </w:r>
            <w:bookmarkEnd w:id="54"/>
            <w:r/>
            <w:r/>
          </w:p>
          <w:p>
            <w:pPr>
              <w:spacing w:line="480" w:lineRule="exact"/>
              <w:rPr>
                <w:rFonts w:hint="eastAsia" w:ascii="宋体" w:hAnsi="宋体" w:eastAsia="宋体" w:cs="宋体"/>
                <w:b/>
                <w:sz w:val="24"/>
                <w:szCs w:val="24"/>
                <w:highlight w:val="none"/>
              </w:rPr>
              <w:outlineLvl w:val="0"/>
            </w:pPr>
            <w:r/>
            <w:bookmarkStart w:id="55" w:name="_Toc15709"/>
            <w:r>
              <w:rPr>
                <w:rFonts w:hint="eastAsia" w:ascii="宋体" w:hAnsi="宋体" w:eastAsia="宋体" w:cs="宋体"/>
                <w:sz w:val="24"/>
                <w:szCs w:val="24"/>
                <w:highlight w:val="none"/>
              </w:rPr>
              <w:t xml:space="preserve">项目</w:t>
            </w:r>
            <w:bookmarkEnd w:id="55"/>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tcPr>
          <w:p>
            <w:pPr>
              <w:spacing w:line="480" w:lineRule="exact"/>
              <w:rPr>
                <w:rFonts w:hint="eastAsia" w:ascii="宋体" w:hAnsi="宋体" w:eastAsia="宋体" w:cs="宋体"/>
                <w:b/>
                <w:sz w:val="24"/>
                <w:szCs w:val="24"/>
                <w:highlight w:val="none"/>
              </w:rPr>
              <w:outlineLvl w:val="0"/>
            </w:pPr>
            <w:r/>
            <w:bookmarkStart w:id="56" w:name="_Toc22951"/>
            <w:r>
              <w:rPr>
                <w:rFonts w:hint="eastAsia" w:ascii="宋体" w:hAnsi="宋体" w:eastAsia="宋体" w:cs="宋体"/>
                <w:sz w:val="24"/>
                <w:szCs w:val="24"/>
                <w:highlight w:val="none"/>
              </w:rPr>
              <w:t xml:space="preserve">分值</w:t>
            </w:r>
            <w:bookmarkEnd w:id="56"/>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tcPr>
          <w:p>
            <w:pPr>
              <w:spacing w:line="480" w:lineRule="exact"/>
              <w:rPr>
                <w:rFonts w:hint="eastAsia" w:ascii="宋体" w:hAnsi="宋体" w:eastAsia="宋体" w:cs="宋体"/>
                <w:b/>
                <w:sz w:val="24"/>
                <w:szCs w:val="24"/>
                <w:highlight w:val="none"/>
              </w:rPr>
              <w:outlineLvl w:val="0"/>
            </w:pPr>
            <w:r/>
            <w:bookmarkStart w:id="57" w:name="_Toc24942"/>
            <w:r>
              <w:rPr>
                <w:rFonts w:hint="eastAsia" w:ascii="宋体" w:hAnsi="宋体" w:eastAsia="宋体" w:cs="宋体"/>
                <w:sz w:val="24"/>
                <w:szCs w:val="24"/>
                <w:highlight w:val="none"/>
              </w:rPr>
              <w:t xml:space="preserve">评分标准</w:t>
            </w:r>
            <w:bookmarkEnd w:id="57"/>
            <w:r/>
            <w:r/>
          </w:p>
        </w:tc>
      </w:tr>
      <w:tr>
        <w:trPr>
          <w:jc w:val="center"/>
          <w:trHeight w:val="553"/>
        </w:trPr>
        <w:tc>
          <w:tcPr>
            <w:gridSpan w:val="4"/>
            <w:tcBorders>
              <w:top w:val="single" w:color="auto" w:sz="4" w:space="0"/>
              <w:left w:val="single" w:color="auto" w:sz="4" w:space="0"/>
              <w:bottom w:val="single" w:color="auto" w:sz="4" w:space="0"/>
              <w:right w:val="single" w:color="auto" w:sz="4" w:space="0"/>
            </w:tcBorders>
            <w:tcW w:w="9695" w:type="dxa"/>
            <w:vAlign w:val="center"/>
            <w:textDirection w:val="lrTb"/>
            <w:noWrap/>
          </w:tcPr>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商务部分（</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分）</w:t>
            </w:r>
            <w:r/>
          </w:p>
        </w:tc>
      </w:tr>
      <w:tr>
        <w:trPr>
          <w:jc w:val="center"/>
          <w:trHeight w:val="1488"/>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sz w:val="24"/>
                <w:szCs w:val="24"/>
                <w:highlight w:val="none"/>
                <w:lang w:val="en-US" w:eastAsia="zh-CN"/>
              </w:rPr>
              <w:outlineLvl w:val="0"/>
            </w:pPr>
            <w:r/>
            <w:bookmarkStart w:id="58" w:name="_Toc26243"/>
            <w:r>
              <w:rPr>
                <w:rFonts w:hint="eastAsia" w:ascii="宋体" w:hAnsi="宋体" w:eastAsia="宋体" w:cs="宋体"/>
                <w:sz w:val="24"/>
                <w:szCs w:val="24"/>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26" w:type="dxa"/>
            <w:vAlign w:val="center"/>
            <w:textDirection w:val="lrTb"/>
            <w:noWrap/>
          </w:tcPr>
          <w:p>
            <w:pPr>
              <w:spacing w:line="480" w:lineRule="exact"/>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rPr>
              <w:t xml:space="preserve">团队人员</w:t>
            </w:r>
            <w:r/>
          </w:p>
        </w:tc>
        <w:tc>
          <w:tcPr>
            <w:shd w:val="clear" w:color="auto" w:fill="auto"/>
            <w:tcBorders>
              <w:top w:val="single" w:color="auto" w:sz="4" w:space="0"/>
              <w:left w:val="none" w:color="000000" w:sz="4" w:space="0"/>
              <w:bottom w:val="single" w:color="auto" w:sz="4" w:space="0"/>
              <w:right w:val="single" w:color="auto" w:sz="4" w:space="0"/>
            </w:tcBorders>
            <w:tcW w:w="752" w:type="dxa"/>
            <w:vAlign w:val="center"/>
            <w:textDirection w:val="lrTb"/>
            <w:noWrap/>
          </w:tcPr>
          <w:p>
            <w:pPr>
              <w:spacing w:line="480" w:lineRule="exact"/>
              <w:rPr>
                <w:rFonts w:hint="default"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7266" w:type="dxa"/>
            <w:vAlign w:val="center"/>
            <w:textDirection w:val="lrTb"/>
            <w:noWrap/>
          </w:tcPr>
          <w:p>
            <w:pPr>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（1）项目经理：投标人拟投入该项目的项目经理具备环境类相关专业</w:t>
            </w:r>
            <w:r>
              <w:rPr>
                <w:rFonts w:hint="eastAsia" w:ascii="宋体" w:hAnsi="宋体" w:eastAsia="宋体" w:cs="宋体"/>
                <w:sz w:val="24"/>
                <w:szCs w:val="24"/>
                <w:highlight w:val="none"/>
                <w:lang w:val="en-US" w:eastAsia="zh-CN"/>
              </w:rPr>
              <w:t xml:space="preserve">高级</w:t>
            </w:r>
            <w:r>
              <w:rPr>
                <w:rFonts w:hint="eastAsia" w:ascii="宋体" w:hAnsi="宋体" w:eastAsia="宋体" w:cs="宋体"/>
                <w:sz w:val="24"/>
                <w:szCs w:val="24"/>
                <w:highlight w:val="none"/>
              </w:rPr>
              <w:t xml:space="preserve">及以上</w:t>
            </w:r>
            <w:r>
              <w:rPr>
                <w:rFonts w:hint="eastAsia" w:ascii="宋体" w:hAnsi="宋体" w:eastAsia="宋体" w:cs="宋体"/>
                <w:sz w:val="24"/>
                <w:szCs w:val="24"/>
                <w:highlight w:val="none"/>
                <w:lang w:val="en-US" w:eastAsia="zh-CN"/>
              </w:rPr>
              <w:t xml:space="preserve">工程师</w:t>
            </w:r>
            <w:r>
              <w:rPr>
                <w:rFonts w:hint="eastAsia" w:ascii="宋体" w:hAnsi="宋体" w:eastAsia="宋体" w:cs="宋体"/>
                <w:sz w:val="24"/>
                <w:szCs w:val="24"/>
                <w:highlight w:val="none"/>
              </w:rPr>
              <w:t xml:space="preserve">职称的得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中级的得1分</w:t>
            </w:r>
            <w:r>
              <w:rPr>
                <w:rFonts w:hint="eastAsia" w:ascii="宋体" w:hAnsi="宋体" w:eastAsia="宋体" w:cs="宋体"/>
                <w:sz w:val="24"/>
                <w:szCs w:val="24"/>
                <w:highlight w:val="none"/>
              </w:rPr>
              <w:t xml:space="preserve">。（注：需提供相关证书扫描件及投标人为其缴纳的近6个月内任意一个月社保证明材料（加盖公章）；若人员入职时间不足一个月，可提供投标单位出具的在职承诺函（加盖公章），承诺该人员为投标单位正式员工并将依法缴纳社保，否则承担相应责任。）</w:t>
            </w:r>
            <w:r/>
          </w:p>
          <w:p>
            <w:pPr>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技术负责人：投标人拟投入该项目的技术负责人具备</w:t>
            </w:r>
            <w:r>
              <w:rPr>
                <w:rFonts w:hint="eastAsia" w:ascii="宋体" w:hAnsi="宋体" w:eastAsia="宋体" w:cs="宋体"/>
                <w:sz w:val="24"/>
                <w:szCs w:val="24"/>
                <w:highlight w:val="none"/>
              </w:rPr>
              <w:t xml:space="preserve">环境类相关专业</w:t>
            </w:r>
            <w:r>
              <w:rPr>
                <w:rFonts w:hint="eastAsia" w:ascii="宋体" w:hAnsi="宋体" w:eastAsia="宋体" w:cs="宋体"/>
                <w:sz w:val="24"/>
                <w:szCs w:val="24"/>
                <w:highlight w:val="none"/>
                <w:lang w:val="en-US" w:eastAsia="zh-CN"/>
              </w:rPr>
              <w:t xml:space="preserve">高级</w:t>
            </w:r>
            <w:r>
              <w:rPr>
                <w:rFonts w:hint="eastAsia" w:ascii="宋体" w:hAnsi="宋体" w:eastAsia="宋体" w:cs="宋体"/>
                <w:sz w:val="24"/>
                <w:szCs w:val="24"/>
                <w:highlight w:val="none"/>
              </w:rPr>
              <w:t xml:space="preserve">及以上</w:t>
            </w:r>
            <w:r>
              <w:rPr>
                <w:rFonts w:hint="eastAsia" w:ascii="宋体" w:hAnsi="宋体" w:eastAsia="宋体" w:cs="宋体"/>
                <w:sz w:val="24"/>
                <w:szCs w:val="24"/>
                <w:highlight w:val="none"/>
                <w:lang w:val="en-US" w:eastAsia="zh-CN"/>
              </w:rPr>
              <w:t xml:space="preserve">工程师</w:t>
            </w:r>
            <w:r>
              <w:rPr>
                <w:rFonts w:hint="eastAsia" w:ascii="宋体" w:hAnsi="宋体" w:eastAsia="宋体" w:cs="宋体"/>
                <w:sz w:val="24"/>
                <w:szCs w:val="24"/>
                <w:highlight w:val="none"/>
              </w:rPr>
              <w:t xml:space="preserve">职称的得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中级的得1分</w:t>
            </w:r>
            <w:r>
              <w:rPr>
                <w:rFonts w:hint="eastAsia" w:ascii="宋体" w:hAnsi="宋体" w:eastAsia="宋体" w:cs="宋体"/>
                <w:sz w:val="24"/>
                <w:szCs w:val="24"/>
                <w:highlight w:val="none"/>
              </w:rPr>
              <w:t xml:space="preserve">。（注：需提供相关证书扫描件及投标人为其缴纳的近6个月内任意一个月社保证明材料（加盖公章）；若人员入职时间不足一个月，可提供投标单位出具的在职承诺函（加盖公章），承诺该人员为投标单位正式员工并将依法缴纳社保，否则承担相应责任。）</w:t>
            </w:r>
            <w:r/>
          </w:p>
          <w:p>
            <w:pPr>
              <w:spacing w:line="480" w:lineRule="exact"/>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为本项目配置的运维人员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项目经理及技术负责人除外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具备环境类高级</w:t>
            </w:r>
            <w:r>
              <w:rPr>
                <w:rFonts w:hint="eastAsia" w:ascii="宋体" w:hAnsi="宋体" w:eastAsia="宋体" w:cs="宋体"/>
                <w:sz w:val="24"/>
                <w:szCs w:val="24"/>
                <w:highlight w:val="none"/>
                <w:lang w:val="en-US" w:eastAsia="zh-CN"/>
              </w:rPr>
              <w:t xml:space="preserve">工程师</w:t>
            </w:r>
            <w:r>
              <w:rPr>
                <w:rFonts w:hint="eastAsia" w:ascii="宋体" w:hAnsi="宋体" w:eastAsia="宋体" w:cs="宋体"/>
                <w:sz w:val="24"/>
                <w:szCs w:val="24"/>
                <w:highlight w:val="none"/>
              </w:rPr>
              <w:t xml:space="preserve">及以上职称的，</w:t>
            </w:r>
            <w:r>
              <w:rPr>
                <w:rFonts w:hint="eastAsia" w:ascii="宋体" w:hAnsi="宋体" w:eastAsia="宋体" w:cs="宋体"/>
                <w:sz w:val="24"/>
                <w:szCs w:val="24"/>
                <w:highlight w:val="none"/>
                <w:lang w:val="en-US" w:eastAsia="zh-CN"/>
              </w:rPr>
              <w:t xml:space="preserve">每有1人得</w:t>
            </w:r>
            <w:r>
              <w:rPr>
                <w:rFonts w:hint="eastAsia" w:ascii="宋体" w:hAnsi="宋体" w:eastAsia="宋体" w:cs="宋体"/>
                <w:sz w:val="24"/>
                <w:szCs w:val="24"/>
                <w:highlight w:val="none"/>
              </w:rPr>
              <w:t xml:space="preserve">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具备</w:t>
            </w:r>
            <w:r>
              <w:rPr>
                <w:rFonts w:hint="eastAsia" w:ascii="宋体" w:hAnsi="宋体" w:eastAsia="宋体" w:cs="宋体"/>
                <w:sz w:val="24"/>
                <w:szCs w:val="24"/>
                <w:highlight w:val="none"/>
              </w:rPr>
              <w:t xml:space="preserve">环境类</w:t>
            </w:r>
            <w:r>
              <w:rPr>
                <w:rFonts w:hint="eastAsia" w:ascii="宋体" w:hAnsi="宋体" w:eastAsia="宋体" w:cs="宋体"/>
                <w:sz w:val="24"/>
                <w:szCs w:val="24"/>
                <w:highlight w:val="none"/>
                <w:lang w:val="en-US" w:eastAsia="zh-CN"/>
              </w:rPr>
              <w:t xml:space="preserve">中级工程师</w:t>
            </w:r>
            <w:r>
              <w:rPr>
                <w:rFonts w:hint="eastAsia" w:ascii="宋体" w:hAnsi="宋体" w:eastAsia="宋体" w:cs="宋体"/>
                <w:sz w:val="24"/>
                <w:szCs w:val="24"/>
                <w:highlight w:val="none"/>
              </w:rPr>
              <w:t xml:space="preserve">职称的</w:t>
            </w:r>
            <w:r>
              <w:rPr>
                <w:rFonts w:hint="eastAsia" w:ascii="宋体" w:hAnsi="宋体" w:eastAsia="宋体" w:cs="宋体"/>
                <w:sz w:val="24"/>
                <w:szCs w:val="24"/>
                <w:highlight w:val="none"/>
                <w:lang w:val="en-US" w:eastAsia="zh-CN"/>
              </w:rPr>
              <w:t xml:space="preserve">得1分，最多得6分</w:t>
            </w:r>
            <w:r>
              <w:rPr>
                <w:rFonts w:hint="eastAsia" w:ascii="宋体" w:hAnsi="宋体" w:eastAsia="宋体" w:cs="宋体"/>
                <w:sz w:val="24"/>
                <w:szCs w:val="24"/>
                <w:highlight w:val="none"/>
              </w:rPr>
              <w:t xml:space="preserve">。本项最高</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注：需提供相关证书扫描件及投标人为其缴纳的近6个月内任意一个月社保证明材料（加盖公章）；若人员入职时间不足一个月，可提供投标单位出具的在职承诺函（加盖公章），承诺该人员为投标单位正式员工并将依法缴纳社保，否则承担相应责任。）</w:t>
            </w:r>
            <w:r/>
          </w:p>
        </w:tc>
      </w:tr>
      <w:tr>
        <w:trPr>
          <w:jc w:val="center"/>
          <w:trHeight w:val="1488"/>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2</w:t>
            </w:r>
            <w:bookmarkEnd w:id="58"/>
            <w:r/>
            <w:r/>
          </w:p>
        </w:tc>
        <w:tc>
          <w:tcPr>
            <w:tcBorders>
              <w:top w:val="single" w:color="auto" w:sz="4" w:space="0"/>
              <w:left w:val="none" w:color="000000" w:sz="4" w:space="0"/>
              <w:bottom w:val="single" w:color="auto" w:sz="4" w:space="0"/>
              <w:right w:val="single" w:color="auto" w:sz="4" w:space="0"/>
            </w:tcBorders>
            <w:tcW w:w="102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类似业绩</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tcPr>
          <w:p>
            <w:pPr>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tcPr>
          <w:p>
            <w:pPr>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2022年1月1日至今（以合同签订时间为准），投标人</w:t>
            </w:r>
            <w:r>
              <w:rPr>
                <w:rFonts w:hint="eastAsia" w:ascii="宋体" w:hAnsi="宋体" w:eastAsia="宋体" w:cs="宋体"/>
                <w:sz w:val="24"/>
                <w:szCs w:val="24"/>
                <w:highlight w:val="none"/>
                <w:lang w:val="en-US" w:eastAsia="zh-CN"/>
              </w:rPr>
              <w:t xml:space="preserve">承担过</w:t>
            </w:r>
            <w:r>
              <w:rPr>
                <w:rFonts w:hint="eastAsia" w:ascii="宋体" w:hAnsi="宋体" w:eastAsia="宋体" w:cs="宋体"/>
                <w:sz w:val="24"/>
                <w:szCs w:val="24"/>
                <w:highlight w:val="none"/>
              </w:rPr>
              <w:t xml:space="preserve">类似项目的，每有1</w:t>
            </w:r>
            <w:r>
              <w:rPr>
                <w:rFonts w:hint="eastAsia" w:ascii="宋体" w:hAnsi="宋体" w:eastAsia="宋体" w:cs="宋体"/>
                <w:sz w:val="24"/>
                <w:szCs w:val="24"/>
                <w:highlight w:val="none"/>
                <w:lang w:val="en-US" w:eastAsia="zh-CN"/>
              </w:rPr>
              <w:t xml:space="preserve">个</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分。（提供相关业绩合同，未反映</w:t>
            </w:r>
            <w:r>
              <w:rPr>
                <w:rFonts w:hint="eastAsia" w:ascii="宋体" w:hAnsi="宋体" w:eastAsia="宋体" w:cs="宋体"/>
                <w:sz w:val="24"/>
                <w:szCs w:val="24"/>
                <w:highlight w:val="none"/>
                <w:lang w:val="en-US" w:eastAsia="zh-CN"/>
              </w:rPr>
              <w:t xml:space="preserve">项目内容</w:t>
            </w:r>
            <w:r>
              <w:rPr>
                <w:rFonts w:hint="eastAsia" w:ascii="宋体" w:hAnsi="宋体" w:eastAsia="宋体" w:cs="宋体"/>
                <w:sz w:val="24"/>
                <w:szCs w:val="24"/>
                <w:highlight w:val="none"/>
              </w:rPr>
              <w:t xml:space="preserve">或未提供不得分。）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sz w:val="24"/>
                <w:szCs w:val="24"/>
                <w:highlight w:val="none"/>
              </w:rPr>
              <w:outlineLvl w:val="0"/>
            </w:pPr>
            <w:r/>
            <w:bookmarkStart w:id="59" w:name="_Toc29355"/>
            <w:r>
              <w:rPr>
                <w:rFonts w:hint="eastAsia" w:ascii="宋体" w:hAnsi="宋体" w:eastAsia="宋体" w:cs="宋体"/>
                <w:sz w:val="24"/>
                <w:szCs w:val="24"/>
                <w:highlight w:val="none"/>
              </w:rPr>
              <w:t xml:space="preserve">3</w:t>
            </w:r>
            <w:bookmarkEnd w:id="59"/>
            <w:r/>
            <w:r/>
          </w:p>
        </w:tc>
        <w:tc>
          <w:tcPr>
            <w:tcBorders>
              <w:top w:val="single" w:color="auto" w:sz="4" w:space="0"/>
              <w:left w:val="none" w:color="000000" w:sz="4" w:space="0"/>
              <w:bottom w:val="single" w:color="auto" w:sz="4" w:space="0"/>
              <w:right w:val="single" w:color="auto" w:sz="4" w:space="0"/>
            </w:tcBorders>
            <w:tcW w:w="102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质控实验室</w:t>
            </w:r>
            <w:r/>
          </w:p>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tcPr>
          <w:p>
            <w:pPr>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tcPr>
          <w:p>
            <w:pPr>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投标人自有或委托有用于质量控制的CMA或CNAS资质认定的实验室的得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分。（须提供实验室资质证书扫描件加盖公章，投标人自身无实验室，但委托相关认证实验室，须额外提供服务期包含本次运维周期的委托协议，未提供或提供不全不得分。）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sz w:val="24"/>
                <w:szCs w:val="24"/>
                <w:highlight w:val="none"/>
                <w:lang w:eastAsia="zh-CN"/>
              </w:rPr>
              <w:outlineLvl w:val="0"/>
            </w:pPr>
            <w:r>
              <w:rPr>
                <w:rFonts w:hint="eastAsia" w:ascii="宋体" w:hAnsi="宋体" w:eastAsia="宋体" w:cs="宋体"/>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02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设备保障</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10分</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tcPr>
          <w:p>
            <w:pPr>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1）设备保障：投标人配备SO2、NOx、CO、O3、PM2.5、PM10六项指标自动监测仪器各1套用作比对设备的得6分。（需提供以下证明材料，否则不得分：①投标文件中提供备机设备的采购合同和采购发票复印件加盖公章；②提供备机配置情况清单：包括但不限于备机种类、数量、品牌、型号、来源、原理等；③提供备机的适用性检测证书）</w:t>
            </w:r>
            <w:r/>
          </w:p>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2）质控设备：投标人配备标准物质、流量计、标准气压计、标准温湿度计各1套的，得4分。（需提供以下证明材料复印件并加盖公章，否则不得分：①投标文件中提供设备的采购发票或采购合同；②流量计、标准气压计、标准温湿度计需要提供有效期内的检定校准证书；③标准物质需要提供中国计量科学研究院出具的标准物质证书。）</w:t>
            </w:r>
            <w:r/>
          </w:p>
        </w:tc>
      </w:tr>
      <w:tr>
        <w:trPr>
          <w:jc w:val="center"/>
          <w:trHeight w:val="717"/>
        </w:trPr>
        <w:tc>
          <w:tcPr>
            <w:gridSpan w:val="4"/>
            <w:tcBorders>
              <w:top w:val="single" w:color="auto" w:sz="4" w:space="0"/>
              <w:left w:val="single" w:color="auto" w:sz="4" w:space="0"/>
              <w:right w:val="single" w:color="auto" w:sz="4" w:space="0"/>
            </w:tcBorders>
            <w:tcW w:w="9695" w:type="dxa"/>
            <w:vAlign w:val="center"/>
            <w:textDirection w:val="lrTb"/>
            <w:noWrap/>
          </w:tcPr>
          <w:p>
            <w:pPr>
              <w:numPr>
                <w:ilvl w:val="255"/>
                <w:numId w:val="0"/>
              </w:num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技术部分（</w:t>
            </w:r>
            <w:r>
              <w:rPr>
                <w:rFonts w:hint="eastAsia" w:ascii="宋体" w:hAnsi="宋体" w:eastAsia="宋体" w:cs="宋体"/>
                <w:sz w:val="24"/>
                <w:szCs w:val="24"/>
                <w:highlight w:val="none"/>
                <w:lang w:val="en-US" w:eastAsia="zh-CN"/>
              </w:rPr>
              <w:t xml:space="preserve">45</w:t>
            </w:r>
            <w:r>
              <w:rPr>
                <w:rFonts w:hint="eastAsia" w:ascii="宋体" w:hAnsi="宋体" w:eastAsia="宋体" w:cs="宋体"/>
                <w:sz w:val="24"/>
                <w:szCs w:val="24"/>
                <w:highlight w:val="none"/>
              </w:rPr>
              <w:t xml:space="preserve">分）</w:t>
            </w:r>
            <w:r/>
          </w:p>
        </w:tc>
      </w:tr>
      <w:tr>
        <w:trPr>
          <w:jc w:val="center"/>
          <w:trHeight w:val="1019"/>
        </w:trPr>
        <w:tc>
          <w:tcPr>
            <w:tcBorders>
              <w:top w:val="single" w:color="auto" w:sz="4" w:space="0"/>
              <w:left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5</w:t>
            </w:r>
            <w:r/>
          </w:p>
        </w:tc>
        <w:tc>
          <w:tcPr>
            <w:tcBorders>
              <w:top w:val="single" w:color="auto" w:sz="4" w:space="0"/>
              <w:left w:val="none" w:color="000000" w:sz="4" w:space="0"/>
              <w:right w:val="single" w:color="auto" w:sz="4" w:space="0"/>
            </w:tcBorders>
            <w:tcW w:w="102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比对方案</w:t>
            </w:r>
            <w:r/>
          </w:p>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tc>
        <w:tc>
          <w:tcPr>
            <w:tcBorders>
              <w:top w:val="single" w:color="auto" w:sz="4" w:space="0"/>
              <w:left w:val="none" w:color="000000" w:sz="4" w:space="0"/>
              <w:right w:val="single" w:color="auto" w:sz="4" w:space="0"/>
            </w:tcBorders>
            <w:tcW w:w="752"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评委根据投标人为本项目编制的工作制度、比对监测技术方案可行性评分，包括运行管理机构设置、所制定的运行管理制度、比对方法、进度安排等</w:t>
            </w:r>
            <w:r>
              <w:rPr>
                <w:rFonts w:hint="eastAsia" w:ascii="宋体" w:hAnsi="宋体" w:eastAsia="宋体" w:cs="宋体"/>
                <w:sz w:val="24"/>
                <w:szCs w:val="24"/>
                <w:highlight w:val="none"/>
                <w:lang w:val="en-US" w:eastAsia="zh-CN"/>
              </w:rPr>
              <w:t xml:space="preserve">内容进行综合评议。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rPr>
              <w:t xml:space="preserve">方案全面合理、可操作性强且有不同于其他投标人特色举措的得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方案齐全、具有实际可操作性的得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方案有欠缺、条理不清晰的得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未提供不得分。</w:t>
            </w:r>
            <w:r/>
          </w:p>
        </w:tc>
      </w:tr>
      <w:tr>
        <w:trPr>
          <w:jc w:val="center"/>
          <w:trHeight w:val="772"/>
        </w:trPr>
        <w:tc>
          <w:tcPr>
            <w:tcBorders>
              <w:left w:val="single" w:color="auto" w:sz="4" w:space="0"/>
              <w:right w:val="single" w:color="auto" w:sz="4" w:space="0"/>
            </w:tcBorders>
            <w:tcW w:w="651" w:type="dxa"/>
            <w:vAlign w:val="center"/>
            <w:textDirection w:val="lrTb"/>
            <w:noWrap/>
          </w:tcPr>
          <w:p>
            <w:pPr>
              <w:spacing w:line="480" w:lineRule="exact"/>
              <w:rPr>
                <w:rFonts w:hint="default"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6</w:t>
            </w:r>
            <w:r/>
          </w:p>
        </w:tc>
        <w:tc>
          <w:tcPr>
            <w:tcBorders>
              <w:left w:val="none" w:color="000000" w:sz="4" w:space="0"/>
              <w:right w:val="single" w:color="auto" w:sz="4" w:space="0"/>
            </w:tcBorders>
            <w:tcW w:w="102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点位选址方案</w:t>
            </w:r>
            <w:r/>
          </w:p>
        </w:tc>
        <w:tc>
          <w:tcPr>
            <w:tcBorders>
              <w:left w:val="none" w:color="000000" w:sz="4" w:space="0"/>
              <w:right w:val="single" w:color="auto" w:sz="4" w:space="0"/>
            </w:tcBorders>
            <w:tcW w:w="752" w:type="dxa"/>
            <w:vAlign w:val="center"/>
            <w:textDirection w:val="lrTb"/>
            <w:noWrap/>
          </w:tcPr>
          <w:p>
            <w:pPr>
              <w:jc w:val="left"/>
              <w:spacing w:line="480" w:lineRule="exact"/>
              <w:rPr>
                <w:rFonts w:hint="default"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tcPr>
          <w:p>
            <w:pPr>
              <w:jc w:val="left"/>
              <w:spacing w:line="48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rPr>
              <w:t xml:space="preserve">评委根据投标人为本项目编制的点位选址方案可行性评分，包括污染源摸排、现场踏勘、点位选取等</w:t>
            </w:r>
            <w:r>
              <w:rPr>
                <w:rFonts w:hint="eastAsia" w:ascii="宋体" w:hAnsi="宋体" w:eastAsia="宋体" w:cs="宋体"/>
                <w:sz w:val="24"/>
                <w:szCs w:val="24"/>
                <w:highlight w:val="none"/>
                <w:lang w:val="en-US" w:eastAsia="zh-CN"/>
              </w:rPr>
              <w:t xml:space="preserve">内容进行综合评议。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（1）方案完全满足项目需求，符合相关标准和规范，能科学合理的开展工作的，得8分；</w:t>
            </w:r>
            <w:r/>
          </w:p>
          <w:p>
            <w:pPr>
              <w:jc w:val="left"/>
              <w:spacing w:line="48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（2）方案略有部分偏差但基本合理不影响意思表达，符合相关标准和规范，基本满足项目需求的，得5分；</w:t>
            </w:r>
            <w:r/>
          </w:p>
          <w:p>
            <w:pPr>
              <w:jc w:val="left"/>
              <w:spacing w:line="48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（3）方案部分合理、部分符合相关标准和规范，不能满足项目的大部分需求的，得2分；</w:t>
            </w:r>
            <w:r/>
          </w:p>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（4）未提供方案的不得分。</w:t>
            </w:r>
            <w:r/>
          </w:p>
        </w:tc>
      </w:tr>
      <w:tr>
        <w:trPr>
          <w:jc w:val="center"/>
          <w:trHeight w:val="617"/>
        </w:trPr>
        <w:tc>
          <w:tcPr>
            <w:tcBorders>
              <w:left w:val="single" w:color="auto" w:sz="4" w:space="0"/>
              <w:right w:val="single" w:color="auto" w:sz="4" w:space="0"/>
            </w:tcBorders>
            <w:tcW w:w="651" w:type="dxa"/>
            <w:vAlign w:val="center"/>
            <w:textDirection w:val="lrTb"/>
            <w:noWrap/>
          </w:tcPr>
          <w:p>
            <w:pPr>
              <w:spacing w:line="480" w:lineRule="exact"/>
              <w:rPr>
                <w:rFonts w:hint="default"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7</w:t>
            </w:r>
            <w:r/>
          </w:p>
        </w:tc>
        <w:tc>
          <w:tcPr>
            <w:tcBorders>
              <w:left w:val="none" w:color="000000" w:sz="4" w:space="0"/>
              <w:right w:val="single" w:color="auto" w:sz="4" w:space="0"/>
            </w:tcBorders>
            <w:tcW w:w="102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站点搬迁方案</w:t>
            </w:r>
            <w:r/>
          </w:p>
        </w:tc>
        <w:tc>
          <w:tcPr>
            <w:tcBorders>
              <w:left w:val="none" w:color="000000" w:sz="4" w:space="0"/>
              <w:right w:val="single" w:color="auto" w:sz="4" w:space="0"/>
            </w:tcBorders>
            <w:tcW w:w="752" w:type="dxa"/>
            <w:vAlign w:val="center"/>
            <w:textDirection w:val="lrTb"/>
            <w:noWrap/>
          </w:tcPr>
          <w:p>
            <w:pPr>
              <w:jc w:val="left"/>
              <w:spacing w:line="480" w:lineRule="exact"/>
              <w:rPr>
                <w:rFonts w:hint="default"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评委根据投标人为本项目编制的站点搬迁方案可行性评分，包括搬迁计划，设备安装、站房管路连接等</w:t>
            </w:r>
            <w:r>
              <w:rPr>
                <w:rFonts w:hint="eastAsia" w:ascii="宋体" w:hAnsi="宋体" w:eastAsia="宋体" w:cs="宋体"/>
                <w:sz w:val="24"/>
                <w:szCs w:val="24"/>
                <w:highlight w:val="none"/>
                <w:lang w:val="en-US" w:eastAsia="zh-CN"/>
              </w:rPr>
              <w:t xml:space="preserve">内容进行综合评议。</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rPr>
              <w:t xml:space="preserve">方案全面合理、可操作性强且有不同于其他投标人特色举措的得</w:t>
            </w:r>
            <w:r>
              <w:rPr>
                <w:rFonts w:hint="eastAsia" w:ascii="宋体" w:hAnsi="宋体" w:eastAsia="宋体" w:cs="宋体"/>
                <w:sz w:val="24"/>
                <w:szCs w:val="24"/>
                <w:highlight w:val="none"/>
                <w:lang w:val="en-US" w:eastAsia="zh-CN"/>
              </w:rPr>
              <w:t xml:space="preserve">8分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方案齐全、具有实际可操作性的得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方案有欠缺、条理不清晰的得</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未提供不得分。</w:t>
            </w:r>
            <w:r/>
          </w:p>
        </w:tc>
      </w:tr>
      <w:tr>
        <w:trPr>
          <w:jc w:val="center"/>
          <w:trHeight w:val="504"/>
        </w:trPr>
        <w:tc>
          <w:tcPr>
            <w:tcBorders>
              <w:left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8</w:t>
            </w:r>
            <w:r/>
          </w:p>
        </w:tc>
        <w:tc>
          <w:tcPr>
            <w:tcBorders>
              <w:left w:val="none" w:color="000000" w:sz="4" w:space="0"/>
              <w:right w:val="single" w:color="auto" w:sz="4" w:space="0"/>
            </w:tcBorders>
            <w:tcW w:w="102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安全保障方案</w:t>
            </w:r>
            <w:r/>
          </w:p>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tc>
        <w:tc>
          <w:tcPr>
            <w:tcBorders>
              <w:left w:val="none" w:color="000000" w:sz="4" w:space="0"/>
              <w:right w:val="single" w:color="auto" w:sz="4" w:space="0"/>
            </w:tcBorders>
            <w:tcW w:w="752"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评委根据投标人为本项目编制的安全保障方案可行性评分，包括在服务期内，相关安全管理措施、安全保障制度的完整性、科学性等</w:t>
            </w:r>
            <w:r>
              <w:rPr>
                <w:rFonts w:hint="eastAsia" w:ascii="宋体" w:hAnsi="宋体" w:eastAsia="宋体" w:cs="宋体"/>
                <w:sz w:val="24"/>
                <w:szCs w:val="24"/>
                <w:highlight w:val="none"/>
                <w:lang w:val="en-US" w:eastAsia="zh-CN"/>
              </w:rPr>
              <w:t xml:space="preserve">内容进行综合评议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方案全面合理、可操作性强且有不同于其他投标人特色举措的得</w:t>
            </w:r>
            <w:r>
              <w:rPr>
                <w:rFonts w:hint="eastAsia" w:ascii="宋体" w:hAnsi="宋体" w:eastAsia="宋体" w:cs="宋体"/>
                <w:sz w:val="24"/>
                <w:szCs w:val="24"/>
                <w:highlight w:val="none"/>
                <w:lang w:val="en-US" w:eastAsia="zh-CN"/>
              </w:rPr>
              <w:t xml:space="preserve">8分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方案齐全、具有实际可操作性的得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方案有欠缺、条理不清晰的得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未提供方案的不得分。</w:t>
            </w:r>
            <w:r/>
          </w:p>
        </w:tc>
      </w:tr>
      <w:tr>
        <w:trPr>
          <w:jc w:val="center"/>
          <w:trHeight w:val="2934"/>
        </w:trPr>
        <w:tc>
          <w:tcPr>
            <w:tcBorders>
              <w:left w:val="single" w:color="auto" w:sz="4" w:space="0"/>
              <w:right w:val="single" w:color="auto" w:sz="4" w:space="0"/>
            </w:tcBorders>
            <w:tcW w:w="651" w:type="dxa"/>
            <w:vAlign w:val="center"/>
            <w:textDirection w:val="lrTb"/>
            <w:noWrap/>
          </w:tcPr>
          <w:p>
            <w:pPr>
              <w:spacing w:line="480" w:lineRule="exact"/>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9</w:t>
            </w:r>
            <w:r/>
          </w:p>
        </w:tc>
        <w:tc>
          <w:tcPr>
            <w:tcBorders>
              <w:left w:val="none" w:color="000000" w:sz="4" w:space="0"/>
              <w:right w:val="single" w:color="auto" w:sz="4" w:space="0"/>
            </w:tcBorders>
            <w:tcW w:w="102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应急方案</w:t>
            </w:r>
            <w:r/>
          </w:p>
        </w:tc>
        <w:tc>
          <w:tcPr>
            <w:tcBorders>
              <w:left w:val="none" w:color="000000" w:sz="4" w:space="0"/>
              <w:right w:val="single" w:color="auto" w:sz="4" w:space="0"/>
            </w:tcBorders>
            <w:tcW w:w="752"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tcPr>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根据投标人提供的应急方案、突发事件的预警及处理方案等内容进行综合评议。</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应急方案全面、完善、可行，完全满足项目实施要求的得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应急方案基本全面、完善、可行，基本满足项目实施要求的得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p>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应急方案不够全面、完善、可行，部分满足项目实施要求的得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p>
          <w:p>
            <w:pPr>
              <w:jc w:val="left"/>
              <w:spacing w:line="480" w:lineRule="exact"/>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未提供不得分。</w:t>
            </w:r>
            <w:r/>
            <w:r/>
          </w:p>
        </w:tc>
      </w:tr>
      <w:tr>
        <w:trPr>
          <w:jc w:val="center"/>
          <w:trHeight w:val="2934"/>
        </w:trPr>
        <w:tc>
          <w:tcPr>
            <w:tcBorders>
              <w:left w:val="single" w:color="auto" w:sz="4" w:space="0"/>
              <w:right w:val="single" w:color="auto" w:sz="4" w:space="0"/>
            </w:tcBorders>
            <w:tcW w:w="651" w:type="dxa"/>
            <w:vAlign w:val="center"/>
            <w:textDirection w:val="lrTb"/>
            <w:noWrap/>
          </w:tcPr>
          <w:p>
            <w:pPr>
              <w:spacing w:line="480" w:lineRule="exact"/>
              <w:rPr>
                <w:rFonts w:hint="default"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10</w:t>
            </w:r>
            <w:r/>
          </w:p>
        </w:tc>
        <w:tc>
          <w:tcPr>
            <w:tcBorders>
              <w:left w:val="none" w:color="000000" w:sz="4" w:space="0"/>
              <w:right w:val="single" w:color="auto" w:sz="4" w:space="0"/>
            </w:tcBorders>
            <w:tcW w:w="1026" w:type="dxa"/>
            <w:vAlign w:val="center"/>
            <w:textDirection w:val="lrTb"/>
            <w:noWrap/>
          </w:tcPr>
          <w:p>
            <w:pPr>
              <w:jc w:val="left"/>
              <w:spacing w:line="480" w:lineRule="exact"/>
              <w:rPr>
                <w:rFonts w:hint="default"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售后服务方案</w:t>
            </w:r>
            <w:r/>
          </w:p>
        </w:tc>
        <w:tc>
          <w:tcPr>
            <w:tcBorders>
              <w:left w:val="none" w:color="000000" w:sz="4" w:space="0"/>
              <w:right w:val="single" w:color="auto" w:sz="4" w:space="0"/>
            </w:tcBorders>
            <w:tcW w:w="752" w:type="dxa"/>
            <w:vAlign w:val="center"/>
            <w:textDirection w:val="lrTb"/>
            <w:noWrap/>
          </w:tcPr>
          <w:p>
            <w:pPr>
              <w:jc w:val="left"/>
              <w:spacing w:line="480" w:lineRule="exact"/>
              <w:rPr>
                <w:rFonts w:hint="default"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5分</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tcPr>
          <w:p>
            <w:pPr>
              <w:jc w:val="left"/>
              <w:spacing w:line="480" w:lineRule="exact"/>
              <w:rPr>
                <w:rFonts w:hint="default" w:ascii="宋体" w:hAnsi="宋体" w:eastAsia="宋体" w:cs="宋体"/>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投标人提供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服务承诺、服务响应时间、服务方式、服务内容等</w:t>
            </w:r>
            <w:r>
              <w:rPr>
                <w:rFonts w:hint="eastAsia" w:ascii="宋体" w:hAnsi="宋体" w:eastAsia="宋体" w:cs="宋体"/>
                <w:color w:val="000000"/>
                <w:sz w:val="24"/>
                <w:szCs w:val="24"/>
                <w:highlight w:val="none"/>
                <w:lang w:val="en-US" w:eastAsia="zh-CN"/>
              </w:rPr>
              <w:t xml:space="preserve">进行综合评议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br/>
            </w:r>
            <w:r>
              <w:rPr>
                <w:rFonts w:hint="eastAsia" w:ascii="宋体" w:hAnsi="宋体" w:eastAsia="宋体" w:cs="宋体"/>
                <w:color w:val="000000"/>
                <w:sz w:val="24"/>
                <w:szCs w:val="24"/>
                <w:highlight w:val="none"/>
              </w:rPr>
              <w:t xml:space="preserve">方案详细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包含</w:t>
            </w:r>
            <w:r>
              <w:rPr>
                <w:rFonts w:hint="eastAsia" w:ascii="宋体" w:hAnsi="宋体" w:eastAsia="宋体" w:cs="宋体"/>
                <w:color w:val="000000"/>
                <w:sz w:val="24"/>
                <w:szCs w:val="24"/>
                <w:highlight w:val="none"/>
              </w:rPr>
              <w:t xml:space="preserve">有效响应时间、服务体系完整、售后人员配置齐全</w:t>
            </w:r>
            <w:r>
              <w:rPr>
                <w:rFonts w:hint="eastAsia" w:ascii="宋体" w:hAnsi="宋体" w:eastAsia="宋体" w:cs="宋体"/>
                <w:color w:val="000000"/>
                <w:sz w:val="24"/>
                <w:szCs w:val="24"/>
                <w:highlight w:val="none"/>
                <w:lang w:val="en-US" w:eastAsia="zh-CN"/>
              </w:rPr>
              <w:t xml:space="preserve">得5分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方案基本全面、包含有效响应时间、服务体系基本完整、售后人员配置基本满足采购人要求得3分。</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方案不够全面、有效响应时间超出1小时、服务体系不够完整、售后人员配置不够齐全得1分。</w:t>
            </w:r>
            <w:r>
              <w:rPr>
                <w:rFonts w:hint="eastAsia" w:ascii="宋体" w:hAnsi="宋体" w:eastAsia="宋体" w:cs="宋体"/>
                <w:color w:val="000000"/>
                <w:sz w:val="24"/>
                <w:szCs w:val="24"/>
                <w:highlight w:val="none"/>
                <w:lang w:val="en-US" w:eastAsia="zh-CN"/>
              </w:rPr>
              <w:br/>
            </w:r>
            <w:r>
              <w:rPr>
                <w:rFonts w:hint="eastAsia" w:ascii="宋体" w:hAnsi="宋体" w:eastAsia="宋体" w:cs="宋体"/>
                <w:color w:val="000000"/>
                <w:sz w:val="24"/>
                <w:szCs w:val="24"/>
                <w:highlight w:val="none"/>
                <w:lang w:val="en-US" w:eastAsia="zh-CN"/>
              </w:rPr>
              <w:t xml:space="preserve">未提供不得分。</w:t>
            </w:r>
            <w:r/>
          </w:p>
        </w:tc>
      </w:tr>
    </w:tbl>
    <w:p>
      <w:pPr>
        <w:jc w:val="both"/>
        <w:keepLines/>
        <w:keepNext/>
        <w:spacing w:before="0" w:after="0" w:line="480" w:lineRule="exact"/>
        <w:widowControl w:val="off"/>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keepLines/>
        <w:keepNext/>
        <w:spacing w:before="156" w:after="156" w:line="360" w:lineRule="auto"/>
        <w:widowControl w:val="off"/>
        <w:rPr>
          <w:rFonts w:hint="eastAsia" w:ascii="黑体" w:hAnsi="黑体" w:eastAsia="黑体" w:cs="Times New Roman"/>
          <w:b w:val="0"/>
          <w:bCs/>
          <w:sz w:val="44"/>
          <w:szCs w:val="44"/>
          <w:highlight w:val="none"/>
          <w:lang w:val="en-US" w:eastAsia="zh-CN" w:bidi="ar-SA"/>
        </w:rPr>
        <w:outlineLvl w:val="0"/>
      </w:pPr>
      <w:r>
        <w:rPr>
          <w:rFonts w:hint="eastAsia" w:ascii="黑体" w:hAnsi="黑体" w:eastAsia="黑体" w:cs="Times New Roman"/>
          <w:b w:val="0"/>
          <w:bCs/>
          <w:sz w:val="44"/>
          <w:szCs w:val="44"/>
          <w:highlight w:val="none"/>
          <w:lang w:val="en-US" w:eastAsia="zh-CN" w:bidi="ar-SA"/>
        </w:rPr>
        <w:t xml:space="preserve">第六章  响应文件格式</w:t>
      </w:r>
      <w:r/>
    </w:p>
    <w:p>
      <w:pPr>
        <w:jc w:val="center"/>
        <w:rPr>
          <w:rFonts w:hint="eastAsia" w:ascii="宋体" w:hAnsi="宋体" w:eastAsia="宋体" w:cs="Times New Roman"/>
          <w:b/>
          <w:sz w:val="72"/>
          <w:szCs w:val="21"/>
          <w:highlight w:val="none"/>
        </w:rPr>
      </w:pPr>
      <w:r>
        <w:rPr>
          <w:rFonts w:hint="eastAsia" w:ascii="宋体" w:hAnsi="宋体" w:eastAsia="宋体" w:cs="Times New Roman"/>
          <w:b/>
          <w:sz w:val="72"/>
          <w:szCs w:val="21"/>
          <w:highlight w:val="none"/>
        </w:rPr>
      </w:r>
      <w:r/>
    </w:p>
    <w:p>
      <w:pPr>
        <w:jc w:val="center"/>
        <w:rPr>
          <w:rFonts w:hint="eastAsia" w:ascii="宋体" w:hAnsi="宋体" w:eastAsia="宋体" w:cs="Times New Roman"/>
          <w:b/>
          <w:sz w:val="72"/>
          <w:szCs w:val="21"/>
          <w:highlight w:val="none"/>
        </w:rPr>
      </w:pPr>
      <w:r>
        <w:rPr>
          <w:rFonts w:hint="eastAsia" w:ascii="宋体" w:hAnsi="宋体" w:eastAsia="宋体" w:cs="Times New Roman"/>
          <w:b/>
          <w:sz w:val="72"/>
          <w:szCs w:val="21"/>
          <w:highlight w:val="none"/>
        </w:rPr>
      </w:r>
      <w:r/>
    </w:p>
    <w:p>
      <w:pPr>
        <w:jc w:val="center"/>
        <w:rPr>
          <w:rFonts w:hint="eastAsia" w:ascii="宋体" w:hAnsi="宋体" w:eastAsia="宋体" w:cs="Times New Roman"/>
          <w:b/>
          <w:sz w:val="72"/>
          <w:szCs w:val="21"/>
          <w:highlight w:val="none"/>
        </w:rPr>
      </w:pPr>
      <w:r>
        <w:rPr>
          <w:rFonts w:hint="eastAsia" w:ascii="宋体" w:hAnsi="宋体" w:eastAsia="宋体" w:cs="Times New Roman"/>
          <w:b/>
          <w:sz w:val="72"/>
          <w:szCs w:val="21"/>
          <w:highlight w:val="none"/>
        </w:rPr>
      </w:r>
      <w:r/>
    </w:p>
    <w:p>
      <w:pPr>
        <w:jc w:val="center"/>
        <w:rPr>
          <w:rFonts w:hint="eastAsia" w:ascii="宋体" w:hAnsi="宋体" w:eastAsia="宋体" w:cs="Times New Roman"/>
          <w:b/>
          <w:sz w:val="72"/>
          <w:szCs w:val="21"/>
          <w:highlight w:val="none"/>
        </w:rPr>
      </w:pPr>
      <w:r>
        <w:rPr>
          <w:rFonts w:hint="eastAsia" w:ascii="宋体" w:hAnsi="宋体" w:eastAsia="宋体" w:cs="Times New Roman"/>
          <w:b/>
          <w:sz w:val="72"/>
          <w:szCs w:val="21"/>
          <w:highlight w:val="none"/>
        </w:rPr>
      </w:r>
      <w:r/>
    </w:p>
    <w:p>
      <w:pPr>
        <w:jc w:val="center"/>
        <w:rPr>
          <w:rFonts w:hint="eastAsia" w:ascii="宋体" w:hAnsi="宋体" w:eastAsia="宋体" w:cs="Times New Roman"/>
          <w:b/>
          <w:sz w:val="72"/>
          <w:szCs w:val="21"/>
          <w:highlight w:val="none"/>
        </w:rPr>
      </w:pPr>
      <w:r>
        <w:rPr>
          <w:rFonts w:hint="eastAsia" w:ascii="宋体" w:hAnsi="宋体" w:eastAsia="宋体" w:cs="Times New Roman"/>
          <w:b/>
          <w:sz w:val="72"/>
          <w:szCs w:val="21"/>
          <w:highlight w:val="none"/>
        </w:rPr>
        <w:t xml:space="preserve">响  应  文  件</w:t>
      </w:r>
      <w:r/>
    </w:p>
    <w:p>
      <w:pPr>
        <w:jc w:val="center"/>
        <w:rPr>
          <w:rFonts w:hint="eastAsia" w:ascii="宋体" w:hAnsi="宋体" w:eastAsia="宋体" w:cs="Times New Roman"/>
          <w:b/>
          <w:sz w:val="72"/>
          <w:szCs w:val="21"/>
          <w:highlight w:val="none"/>
        </w:rPr>
      </w:pPr>
      <w:r>
        <w:rPr>
          <w:rFonts w:hint="eastAsia" w:ascii="宋体" w:hAnsi="宋体" w:eastAsia="宋体" w:cs="Times New Roman"/>
          <w:b/>
          <w:sz w:val="72"/>
          <w:szCs w:val="21"/>
          <w:highlight w:val="none"/>
        </w:rPr>
      </w:r>
      <w:r/>
    </w:p>
    <w:p>
      <w:pPr>
        <w:jc w:val="center"/>
        <w:rPr>
          <w:rFonts w:hint="eastAsia" w:ascii="宋体" w:hAnsi="宋体" w:eastAsia="宋体" w:cs="Times New Roman"/>
          <w:b/>
          <w:sz w:val="72"/>
          <w:szCs w:val="21"/>
          <w:highlight w:val="none"/>
        </w:rPr>
      </w:pPr>
      <w:r>
        <w:rPr>
          <w:rFonts w:hint="eastAsia" w:ascii="宋体" w:hAnsi="宋体" w:eastAsia="宋体" w:cs="Times New Roman"/>
          <w:b/>
          <w:sz w:val="72"/>
          <w:szCs w:val="21"/>
          <w:highlight w:val="none"/>
        </w:rPr>
      </w:r>
      <w:r/>
    </w:p>
    <w:p>
      <w:pPr>
        <w:jc w:val="center"/>
        <w:rPr>
          <w:rFonts w:hint="eastAsia" w:ascii="宋体" w:hAnsi="宋体" w:eastAsia="宋体" w:cs="Times New Roman"/>
          <w:b/>
          <w:sz w:val="36"/>
          <w:szCs w:val="21"/>
          <w:highlight w:val="none"/>
        </w:rPr>
      </w:pPr>
      <w:r>
        <w:rPr>
          <w:rFonts w:hint="eastAsia" w:ascii="宋体" w:hAnsi="宋体" w:eastAsia="宋体" w:cs="Times New Roman"/>
          <w:b/>
          <w:sz w:val="36"/>
          <w:szCs w:val="21"/>
          <w:highlight w:val="none"/>
        </w:rPr>
      </w:r>
      <w:r/>
    </w:p>
    <w:p>
      <w:pPr>
        <w:jc w:val="center"/>
        <w:rPr>
          <w:rFonts w:hint="eastAsia" w:ascii="宋体" w:hAnsi="宋体" w:eastAsia="宋体" w:cs="Times New Roman"/>
          <w:b/>
          <w:sz w:val="36"/>
          <w:szCs w:val="21"/>
          <w:highlight w:val="none"/>
        </w:rPr>
      </w:pPr>
      <w:r>
        <w:rPr>
          <w:rFonts w:hint="eastAsia" w:ascii="宋体" w:hAnsi="宋体" w:eastAsia="宋体" w:cs="Times New Roman"/>
          <w:b/>
          <w:sz w:val="36"/>
          <w:szCs w:val="21"/>
          <w:highlight w:val="none"/>
        </w:rPr>
      </w:r>
      <w:r/>
    </w:p>
    <w:p>
      <w:pPr>
        <w:jc w:val="center"/>
        <w:rPr>
          <w:rFonts w:hint="eastAsia" w:ascii="宋体" w:hAnsi="宋体" w:eastAsia="宋体" w:cs="Times New Roman"/>
          <w:b/>
          <w:sz w:val="36"/>
          <w:szCs w:val="21"/>
          <w:highlight w:val="none"/>
        </w:rPr>
      </w:pPr>
      <w:r>
        <w:rPr>
          <w:rFonts w:hint="eastAsia" w:ascii="宋体" w:hAnsi="宋体" w:eastAsia="宋体" w:cs="Times New Roman"/>
          <w:b/>
          <w:sz w:val="36"/>
          <w:szCs w:val="21"/>
          <w:highlight w:val="none"/>
        </w:rPr>
      </w:r>
      <w:r/>
    </w:p>
    <w:p>
      <w:pPr>
        <w:ind w:firstLine="1084"/>
        <w:rPr>
          <w:rFonts w:hint="eastAsia" w:ascii="宋体" w:hAnsi="宋体" w:eastAsia="宋体" w:cs="Times New Roman"/>
          <w:b/>
          <w:sz w:val="36"/>
          <w:szCs w:val="21"/>
          <w:highlight w:val="none"/>
        </w:rPr>
      </w:pPr>
      <w:r>
        <w:rPr>
          <w:rFonts w:hint="eastAsia" w:ascii="宋体" w:hAnsi="宋体" w:eastAsia="宋体" w:cs="Times New Roman"/>
          <w:b/>
          <w:sz w:val="36"/>
          <w:szCs w:val="21"/>
          <w:highlight w:val="none"/>
        </w:rPr>
        <w:t xml:space="preserve">项 目 名 称：</w:t>
      </w:r>
      <w:r>
        <w:rPr>
          <w:rFonts w:hint="eastAsia" w:ascii="宋体" w:hAnsi="宋体" w:eastAsia="宋体" w:cs="Times New Roman"/>
          <w:b/>
          <w:sz w:val="36"/>
          <w:szCs w:val="21"/>
          <w:highlight w:val="none"/>
          <w:u w:val="single"/>
        </w:rPr>
        <w:t xml:space="preserve">                   </w:t>
      </w:r>
      <w:r/>
    </w:p>
    <w:p>
      <w:pPr>
        <w:ind w:firstLine="1084"/>
        <w:rPr>
          <w:rFonts w:hint="eastAsia" w:ascii="宋体" w:hAnsi="宋体" w:eastAsia="宋体" w:cs="Times New Roman"/>
          <w:b/>
          <w:sz w:val="36"/>
          <w:szCs w:val="21"/>
          <w:highlight w:val="none"/>
          <w:u w:val="single"/>
        </w:rPr>
      </w:pPr>
      <w:r>
        <w:rPr>
          <w:rFonts w:hint="eastAsia" w:ascii="宋体" w:hAnsi="宋体" w:eastAsia="宋体" w:cs="Times New Roman"/>
          <w:b/>
          <w:sz w:val="36"/>
          <w:szCs w:val="21"/>
          <w:highlight w:val="none"/>
        </w:rPr>
        <w:t xml:space="preserve">项 目 编 号：</w:t>
      </w:r>
      <w:r>
        <w:rPr>
          <w:rFonts w:hint="eastAsia" w:ascii="宋体" w:hAnsi="宋体" w:eastAsia="宋体" w:cs="Times New Roman"/>
          <w:b/>
          <w:sz w:val="36"/>
          <w:szCs w:val="21"/>
          <w:highlight w:val="none"/>
          <w:u w:val="single"/>
        </w:rPr>
        <w:t xml:space="preserve">                   </w:t>
      </w:r>
      <w:r/>
    </w:p>
    <w:p>
      <w:pPr>
        <w:rPr>
          <w:rFonts w:hint="eastAsia" w:ascii="宋体" w:hAnsi="宋体" w:eastAsia="宋体" w:cs="Times New Roman"/>
          <w:b/>
          <w:sz w:val="36"/>
          <w:szCs w:val="21"/>
          <w:highlight w:val="none"/>
          <w:u w:val="single"/>
        </w:rPr>
      </w:pPr>
      <w:r>
        <w:rPr>
          <w:rFonts w:hint="eastAsia" w:ascii="宋体" w:hAnsi="宋体" w:eastAsia="宋体" w:cs="Times New Roman"/>
          <w:b/>
          <w:sz w:val="36"/>
          <w:szCs w:val="21"/>
          <w:highlight w:val="none"/>
        </w:rPr>
        <w:t xml:space="preserve">      供应商名称 ：</w:t>
      </w:r>
      <w:r>
        <w:rPr>
          <w:rFonts w:hint="eastAsia" w:ascii="宋体" w:hAnsi="宋体" w:eastAsia="宋体" w:cs="Times New Roman"/>
          <w:b/>
          <w:sz w:val="36"/>
          <w:szCs w:val="21"/>
          <w:highlight w:val="none"/>
          <w:u w:val="single"/>
        </w:rPr>
        <w:t xml:space="preserve">（加盖CA电子公章）</w:t>
      </w:r>
      <w:r/>
    </w:p>
    <w:p>
      <w:pPr>
        <w:rPr>
          <w:rFonts w:hint="eastAsia" w:ascii="宋体" w:hAnsi="宋体" w:eastAsia="宋体" w:cs="Times New Roman"/>
          <w:b/>
          <w:sz w:val="36"/>
          <w:szCs w:val="21"/>
          <w:highlight w:val="none"/>
          <w:u w:val="single"/>
        </w:rPr>
      </w:pPr>
      <w:r>
        <w:rPr>
          <w:rFonts w:hint="eastAsia" w:ascii="宋体" w:hAnsi="宋体" w:eastAsia="宋体" w:cs="Times New Roman"/>
          <w:b/>
          <w:sz w:val="36"/>
          <w:szCs w:val="21"/>
          <w:highlight w:val="none"/>
        </w:rPr>
        <w:t xml:space="preserve">      日      期 ：</w:t>
      </w:r>
      <w:r>
        <w:rPr>
          <w:rFonts w:hint="eastAsia" w:ascii="宋体" w:hAnsi="宋体" w:eastAsia="宋体" w:cs="Times New Roman"/>
          <w:b/>
          <w:sz w:val="36"/>
          <w:szCs w:val="21"/>
          <w:highlight w:val="none"/>
          <w:u w:val="single"/>
        </w:rPr>
        <w:t xml:space="preserve">                   </w:t>
      </w:r>
      <w:r/>
    </w:p>
    <w:p>
      <w:pPr>
        <w:jc w:val="center"/>
        <w:spacing w:line="440" w:lineRule="exact"/>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left"/>
        <w:widowControl/>
        <w:rPr>
          <w:rFonts w:ascii="Calibri" w:hAnsi="Calibri" w:eastAsia="宋体" w:cs="Times New Roman"/>
          <w:sz w:val="24"/>
          <w:szCs w:val="24"/>
          <w:highlight w:val="none"/>
        </w:rPr>
      </w:pPr>
      <w:r>
        <w:rPr>
          <w:rFonts w:ascii="Calibri" w:hAnsi="Calibri" w:eastAsia="宋体" w:cs="Times New Roman"/>
          <w:sz w:val="24"/>
          <w:szCs w:val="24"/>
          <w:highlight w:val="none"/>
        </w:rPr>
        <w:br w:type="page" w:clear="all"/>
      </w:r>
      <w:r/>
    </w:p>
    <w:p>
      <w:pPr>
        <w:jc w:val="left"/>
        <w:keepLines/>
        <w:keepNext/>
        <w:spacing w:before="360" w:after="200" w:line="360" w:lineRule="auto"/>
        <w:rPr>
          <w:rFonts w:hint="eastAsia" w:ascii="宋体" w:hAnsi="宋体" w:eastAsia="宋体" w:cs="宋体"/>
          <w:i/>
          <w:sz w:val="36"/>
          <w:szCs w:val="36"/>
          <w:highlight w:val="none"/>
          <w:u w:val="single"/>
        </w:rPr>
        <w:outlineLvl w:val="1"/>
      </w:pPr>
      <w:r>
        <w:rPr>
          <w:rFonts w:hint="eastAsia" w:ascii="宋体" w:hAnsi="宋体" w:eastAsia="宋体" w:cs="宋体"/>
          <w:i/>
          <w:sz w:val="36"/>
          <w:szCs w:val="36"/>
          <w:highlight w:val="none"/>
          <w:u w:val="single"/>
        </w:rPr>
        <w:t xml:space="preserve">一、法人或者其他组织的营业执照等证明文件，自然人的身份证明</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360" w:after="200" w:line="360" w:lineRule="auto"/>
        <w:rPr>
          <w:rFonts w:ascii="Arial" w:hAnsi="Arial" w:eastAsia="宋体" w:cs="Arial"/>
          <w:i/>
          <w:sz w:val="36"/>
          <w:szCs w:val="22"/>
          <w:highlight w:val="none"/>
          <w:u w:val="single"/>
        </w:rPr>
        <w:outlineLvl w:val="1"/>
      </w:pPr>
      <w:r>
        <w:rPr>
          <w:rFonts w:hint="eastAsia" w:ascii="Arial" w:hAnsi="Arial" w:eastAsia="宋体" w:cs="Arial"/>
          <w:i/>
          <w:sz w:val="36"/>
          <w:szCs w:val="22"/>
          <w:highlight w:val="none"/>
          <w:u w:val="single"/>
        </w:rPr>
        <w:t xml:space="preserve">二、</w:t>
      </w:r>
      <w:r>
        <w:rPr>
          <w:rFonts w:hint="eastAsia" w:ascii="宋体" w:hAnsi="宋体" w:eastAsia="宋体" w:cs="宋体"/>
          <w:i/>
          <w:sz w:val="36"/>
          <w:szCs w:val="36"/>
          <w:highlight w:val="none"/>
          <w:u w:val="single"/>
        </w:rPr>
        <w:t xml:space="preserve">具有良好的商业信誉和健全的财务会计制度</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（提供《财务状况报告及税收、社会保障资金缴纳情况承诺函》或2023年度或2024年度经审计的财务状况报告</w:t>
      </w:r>
      <w:r>
        <w:rPr>
          <w:rFonts w:hint="eastAsia" w:ascii="宋体" w:hAnsi="宋体" w:eastAsia="宋体" w:cs="宋体"/>
          <w:sz w:val="24"/>
          <w:szCs w:val="28"/>
          <w:highlight w:val="none"/>
        </w:rPr>
        <w:t xml:space="preserve">，</w:t>
      </w:r>
      <w:r>
        <w:rPr>
          <w:rFonts w:hint="eastAsia" w:ascii="Calibri" w:hAnsi="Calibri" w:eastAsia="宋体" w:cs="Times New Roman"/>
          <w:sz w:val="24"/>
          <w:szCs w:val="24"/>
          <w:highlight w:val="none"/>
        </w:rPr>
        <w:t xml:space="preserve">成立不满一年无需提供）</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360" w:after="200" w:line="360" w:lineRule="auto"/>
        <w:rPr>
          <w:rFonts w:ascii="Arial" w:hAnsi="Arial" w:eastAsia="宋体" w:cs="Arial"/>
          <w:i/>
          <w:iCs/>
          <w:sz w:val="36"/>
          <w:szCs w:val="22"/>
          <w:highlight w:val="none"/>
          <w:u w:val="single"/>
        </w:rPr>
        <w:outlineLvl w:val="1"/>
      </w:pPr>
      <w:r>
        <w:rPr>
          <w:rFonts w:hint="eastAsia" w:ascii="Arial" w:hAnsi="Arial" w:eastAsia="宋体" w:cs="Arial"/>
          <w:i/>
          <w:iCs/>
          <w:sz w:val="36"/>
          <w:szCs w:val="22"/>
          <w:highlight w:val="none"/>
          <w:u w:val="single"/>
        </w:rPr>
        <w:t xml:space="preserve">三、依法缴纳税收和社会保障资金的相关材料</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w:t>
      </w:r>
      <w:r>
        <w:rPr>
          <w:rFonts w:hint="eastAsia" w:ascii="宋体" w:hAnsi="宋体" w:eastAsia="宋体" w:cs="宋体"/>
          <w:sz w:val="24"/>
          <w:szCs w:val="28"/>
          <w:highlight w:val="none"/>
        </w:rPr>
        <w:t xml:space="preserve">提供《财务状况报告及税收、社会保障资金缴纳情况承诺函》或</w:t>
      </w:r>
      <w:r>
        <w:rPr>
          <w:rFonts w:hint="eastAsia" w:ascii="Calibri" w:hAnsi="Calibri" w:eastAsia="宋体" w:cs="Times New Roman"/>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i/>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ascii="Calibri" w:hAnsi="Calibri" w:eastAsia="宋体" w:cs="Times New Roman"/>
          <w:i/>
          <w:sz w:val="24"/>
          <w:szCs w:val="24"/>
          <w:highlight w:val="none"/>
          <w:u w:val="single"/>
        </w:rPr>
        <w:t xml:space="preserve">供应商名称</w:t>
      </w:r>
      <w:r>
        <w:rPr>
          <w:rFonts w:hint="eastAsia" w:ascii="Calibri" w:hAnsi="Calibri" w:eastAsia="宋体" w:cs="Times New Roman"/>
          <w:sz w:val="24"/>
          <w:szCs w:val="24"/>
          <w:highlight w:val="none"/>
        </w:rPr>
        <w:t xml:space="preserve">参加</w:t>
      </w:r>
      <w:r>
        <w:rPr>
          <w:rFonts w:hint="eastAsia" w:ascii="Calibri" w:hAnsi="Calibri" w:eastAsia="宋体" w:cs="Times New Roman"/>
          <w:i/>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i/>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360" w:after="200" w:line="360" w:lineRule="auto"/>
        <w:rPr>
          <w:rFonts w:ascii="Arial" w:hAnsi="Arial" w:eastAsia="宋体" w:cs="Arial"/>
          <w:i/>
          <w:iCs/>
          <w:sz w:val="36"/>
          <w:szCs w:val="22"/>
          <w:highlight w:val="none"/>
          <w:u w:val="single"/>
        </w:rPr>
        <w:outlineLvl w:val="1"/>
      </w:pPr>
      <w:r>
        <w:rPr>
          <w:rFonts w:hint="eastAsia" w:ascii="Arial" w:hAnsi="Arial" w:eastAsia="宋体" w:cs="Arial"/>
          <w:i/>
          <w:iCs/>
          <w:sz w:val="36"/>
          <w:szCs w:val="22"/>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i/>
          <w:iCs/>
          <w:sz w:val="36"/>
          <w:szCs w:val="22"/>
          <w:highlight w:val="none"/>
          <w:u w:val="single"/>
        </w:rPr>
        <w:outlineLvl w:val="1"/>
      </w:pPr>
      <w:r>
        <w:rPr>
          <w:rFonts w:hint="eastAsia" w:ascii="Arial" w:hAnsi="Arial" w:eastAsia="宋体" w:cs="Arial"/>
          <w:i/>
          <w:iCs/>
          <w:sz w:val="36"/>
          <w:szCs w:val="22"/>
          <w:highlight w:val="none"/>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360" w:after="200" w:line="360" w:lineRule="auto"/>
        <w:rPr>
          <w:rFonts w:ascii="Arial" w:hAnsi="Arial" w:eastAsia="宋体" w:cs="Arial"/>
          <w:i/>
          <w:iCs/>
          <w:sz w:val="36"/>
          <w:szCs w:val="22"/>
          <w:highlight w:val="none"/>
          <w:u w:val="single"/>
        </w:rPr>
        <w:outlineLvl w:val="1"/>
      </w:pPr>
      <w:r>
        <w:rPr>
          <w:rFonts w:hint="eastAsia" w:ascii="Arial" w:hAnsi="Arial" w:eastAsia="宋体" w:cs="Arial"/>
          <w:i/>
          <w:iCs/>
          <w:sz w:val="36"/>
          <w:szCs w:val="22"/>
          <w:highlight w:val="none"/>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360" w:after="200" w:line="360" w:lineRule="auto"/>
        <w:rPr>
          <w:rFonts w:ascii="Arial" w:hAnsi="Arial" w:eastAsia="宋体" w:cs="Arial"/>
          <w:i/>
          <w:iCs/>
          <w:sz w:val="36"/>
          <w:szCs w:val="22"/>
          <w:highlight w:val="none"/>
          <w:u w:val="single"/>
        </w:rPr>
        <w:outlineLvl w:val="1"/>
      </w:pPr>
      <w:r>
        <w:rPr>
          <w:rFonts w:hint="eastAsia" w:ascii="Arial" w:hAnsi="Arial" w:eastAsia="宋体" w:cs="Arial"/>
          <w:i/>
          <w:iCs/>
          <w:sz w:val="36"/>
          <w:szCs w:val="22"/>
          <w:highlight w:val="none"/>
          <w:u w:val="single"/>
        </w:rPr>
        <w:t xml:space="preserve">七 、落实政府采购政策需满足的资格要求的证明文件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360" w:after="200" w:line="360" w:lineRule="auto"/>
        <w:rPr>
          <w:rFonts w:ascii="Arial" w:hAnsi="Arial" w:eastAsia="宋体" w:cs="Arial"/>
          <w:i/>
          <w:iCs/>
          <w:sz w:val="36"/>
          <w:szCs w:val="22"/>
          <w:highlight w:val="none"/>
          <w:u w:val="single"/>
        </w:rPr>
        <w:outlineLvl w:val="1"/>
      </w:pPr>
      <w:r>
        <w:rPr>
          <w:rFonts w:hint="eastAsia" w:ascii="Arial" w:hAnsi="Arial" w:eastAsia="宋体" w:cs="Arial"/>
          <w:i/>
          <w:iCs/>
          <w:sz w:val="36"/>
          <w:szCs w:val="22"/>
          <w:highlight w:val="none"/>
          <w:u w:val="single"/>
        </w:rPr>
        <w:t xml:space="preserve">八、特定资格要求的证明文件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360" w:after="200" w:line="360" w:lineRule="auto"/>
        <w:rPr>
          <w:rFonts w:ascii="Arial" w:hAnsi="Arial" w:eastAsia="宋体" w:cs="Arial"/>
          <w:i/>
          <w:iCs/>
          <w:sz w:val="36"/>
          <w:szCs w:val="22"/>
          <w:highlight w:val="none"/>
          <w:u w:val="single"/>
        </w:rPr>
        <w:outlineLvl w:val="1"/>
      </w:pPr>
      <w:r>
        <w:rPr>
          <w:rFonts w:hint="eastAsia" w:ascii="Arial" w:hAnsi="Arial" w:eastAsia="宋体" w:cs="Arial"/>
          <w:i/>
          <w:iCs/>
          <w:sz w:val="36"/>
          <w:szCs w:val="22"/>
          <w:highlight w:val="none"/>
          <w:u w:val="single"/>
        </w:rPr>
        <w:t xml:space="preserve">九、授权委托书与法定代表人（单位负责人）身份证明</w:t>
      </w:r>
      <w:r/>
    </w:p>
    <w:p>
      <w:pPr>
        <w:jc w:val="center"/>
        <w:spacing w:line="360" w:lineRule="exact"/>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供应商</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）响应文件和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p>
    <w:p>
      <w:pPr>
        <w:ind w:firstLine="922"/>
        <w:jc w:val="left"/>
        <w:spacing w:line="360" w:lineRule="auto"/>
        <w:widowControl w:val="off"/>
        <w:rPr>
          <w:rFonts w:ascii="Times New Roman" w:hAnsi="Times New Roman" w:eastAsia="宋体" w:cs="Times New Roman"/>
          <w:sz w:val="21"/>
          <w:szCs w:val="24"/>
          <w:highlight w:val="none"/>
          <w:lang w:val="en-US" w:eastAsia="zh-CN" w:bidi="ar-SA"/>
        </w:rPr>
      </w:pPr>
      <w:r>
        <w:rPr>
          <w:rFonts w:ascii="Times New Roman" w:hAnsi="Times New Roman" w:eastAsia="宋体" w:cs="Times New Roman"/>
          <w:sz w:val="21"/>
          <w:szCs w:val="24"/>
          <w:highlight w:val="none"/>
          <w:lang w:val="en-US" w:eastAsia="zh-CN" w:bidi="ar-SA"/>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tc>
      </w:tr>
    </w:tbl>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磋商文件</w:t>
      </w:r>
      <w:r>
        <w:rPr>
          <w:rFonts w:ascii="Calibri" w:hAnsi="Calibri" w:eastAsia="宋体" w:cs="Times New Roman"/>
          <w:sz w:val="24"/>
          <w:szCs w:val="24"/>
          <w:highlight w:val="none"/>
        </w:rPr>
        <w:t xml:space="preserve">注明允许分支机构参与</w:t>
      </w:r>
      <w:r>
        <w:rPr>
          <w:rFonts w:hint="eastAsia" w:ascii="Calibri" w:hAnsi="Calibri" w:eastAsia="宋体" w:cs="Times New Roman"/>
          <w:sz w:val="24"/>
          <w:szCs w:val="24"/>
          <w:highlight w:val="none"/>
        </w:rPr>
        <w:t xml:space="preserve">磋商</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响应文件</w:t>
      </w:r>
      <w:r>
        <w:rPr>
          <w:rFonts w:ascii="Calibri" w:hAnsi="Calibri" w:eastAsia="宋体" w:cs="Times New Roman"/>
          <w:sz w:val="24"/>
          <w:szCs w:val="24"/>
          <w:highlight w:val="none"/>
        </w:rPr>
        <w:t xml:space="preserve">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center"/>
        <w:spacing w:line="360" w:lineRule="exact"/>
        <w:rPr>
          <w:rFonts w:hint="eastAsia"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hint="eastAsia" w:ascii="宋体" w:hAnsi="宋体" w:eastAsia="宋体" w:cs="Times New Roman"/>
          <w:sz w:val="20"/>
          <w:szCs w:val="20"/>
          <w:highlight w:val="none"/>
        </w:rPr>
      </w:pPr>
      <w:r>
        <w:rPr>
          <w:rFonts w:hint="eastAsia" w:ascii="宋体" w:hAnsi="宋体" w:eastAsia="宋体" w:cs="Times New Roman"/>
          <w:sz w:val="20"/>
          <w:szCs w:val="20"/>
          <w:highlight w:val="none"/>
        </w:rPr>
      </w:r>
      <w:r/>
    </w:p>
    <w:p>
      <w:pPr>
        <w:spacing w:line="360" w:lineRule="auto"/>
        <w:tabs>
          <w:tab w:val="left" w:pos="5580" w:leader="none"/>
        </w:tabs>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供应商</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right="-46"/>
        <w:spacing w:before="120" w:line="583" w:lineRule="auto"/>
        <w:tabs>
          <w:tab w:val="left" w:pos="567" w:leader="none"/>
        </w:tabs>
        <w:rPr>
          <w:rFonts w:hint="eastAsia"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tc>
      </w:tr>
    </w:tbl>
    <w:p>
      <w:pPr>
        <w:ind w:right="4305"/>
        <w:spacing w:before="120" w:line="583" w:lineRule="auto"/>
        <w:tabs>
          <w:tab w:val="left" w:pos="567" w:leader="none"/>
        </w:tabs>
        <w:rPr>
          <w:rFonts w:hint="eastAsia" w:ascii="宋体" w:hAnsi="宋体" w:eastAsia="宋体" w:cs="Times New Roman"/>
          <w:spacing w:val="-3"/>
          <w:sz w:val="24"/>
          <w:szCs w:val="24"/>
          <w:highlight w:val="none"/>
        </w:rPr>
      </w:pPr>
      <w:r>
        <w:rPr>
          <w:rFonts w:hint="eastAsia"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供应商</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260" w:after="260" w:line="416" w:lineRule="auto"/>
        <w:rPr>
          <w:rFonts w:hint="eastAsia" w:ascii="黑体" w:hAnsi="黑体" w:eastAsia="黑体" w:cs="Times New Roman"/>
          <w:b/>
          <w:i/>
          <w:color w:val="000000"/>
          <w:sz w:val="32"/>
          <w:szCs w:val="32"/>
          <w:highlight w:val="none"/>
          <w:u w:val="single"/>
        </w:rPr>
        <w:outlineLvl w:val="1"/>
      </w:pPr>
      <w:r>
        <w:rPr>
          <w:rFonts w:hint="eastAsia" w:ascii="Arial" w:hAnsi="Arial" w:eastAsia="宋体" w:cs="Arial"/>
          <w:i/>
          <w:iCs/>
          <w:sz w:val="36"/>
          <w:szCs w:val="22"/>
          <w:highlight w:val="none"/>
          <w:u w:val="single"/>
        </w:rPr>
        <w:t xml:space="preserve">十、磋商响应函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磋商响应函</w:t>
      </w:r>
      <w:r/>
    </w:p>
    <w:p>
      <w:pPr>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致：（采购人）</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w:t>
      </w:r>
      <w:r>
        <w:rPr>
          <w:rFonts w:hint="eastAsia" w:ascii="Calibri" w:hAnsi="Calibri" w:eastAsia="宋体" w:cs="Times New Roman"/>
          <w:sz w:val="24"/>
          <w:szCs w:val="24"/>
          <w:highlight w:val="none"/>
          <w:u w:val="single"/>
          <w:lang w:eastAsia="zh-CN"/>
        </w:rPr>
        <w:t xml:space="preserve">JSZC-320723-JYZD-C2025-0010</w:t>
      </w:r>
      <w:r>
        <w:rPr>
          <w:rFonts w:hint="eastAsia" w:ascii="宋体" w:hAnsi="宋体" w:eastAsia="宋体" w:cs="Times New Roman"/>
          <w:color w:val="000000"/>
          <w:sz w:val="24"/>
          <w:szCs w:val="21"/>
          <w:highlight w:val="none"/>
        </w:rPr>
        <w:t xml:space="preserve">号磋商文件，正式授权下述签字人_________________(姓名)代表我方______________（供应商的名称），全权处理本次项目磋商采购的有关事宜。</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1.按磋商文件规定的各项要求，向买方提供所需服务（包含与服务相关的货物、工程）。</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2.我们完全理解贵方不一定将合同授予最低报价的供应商。</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3.我们已详细审核全部磋商文件及其有效补充文件，我们知道必须放弃提出含糊不清或误解问题的权利。</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4.我们同意从规定的开启日期起遵循本响应文件，并在规定的磋商有效期期满之前均具有约束力。</w:t>
      </w:r>
      <w:r/>
    </w:p>
    <w:p>
      <w:pPr>
        <w:ind w:firstLine="480"/>
        <w:jc w:val="left"/>
        <w:spacing w:line="500" w:lineRule="exact"/>
        <w:rPr>
          <w:rFonts w:hint="eastAsia"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hint="eastAsia"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hint="eastAsia"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.与本磋商有关的正式通讯地址为：</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供应商开户行：</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260" w:after="260" w:line="416" w:lineRule="auto"/>
        <w:rPr>
          <w:rFonts w:ascii="Arial" w:hAnsi="Arial" w:eastAsia="宋体" w:cs="Arial"/>
          <w:i/>
          <w:iCs/>
          <w:sz w:val="36"/>
          <w:szCs w:val="22"/>
          <w:highlight w:val="none"/>
          <w:u w:val="single"/>
        </w:rPr>
        <w:outlineLvl w:val="1"/>
      </w:pPr>
      <w:r>
        <w:rPr>
          <w:rFonts w:hint="eastAsia" w:ascii="Arial" w:hAnsi="Arial" w:eastAsia="宋体" w:cs="Arial"/>
          <w:i/>
          <w:iCs/>
          <w:sz w:val="36"/>
          <w:szCs w:val="22"/>
          <w:highlight w:val="none"/>
          <w:u w:val="single"/>
        </w:rPr>
        <w:t xml:space="preserve">十一、中小企业声明函（服务）（分包号：**）</w:t>
      </w:r>
      <w:r/>
    </w:p>
    <w:p>
      <w:pPr>
        <w:jc w:val="center"/>
        <w:spacing w:line="360" w:lineRule="auto"/>
        <w:tabs>
          <w:tab w:val="left" w:pos="360" w:leader="none"/>
        </w:tabs>
        <w:rPr>
          <w:rFonts w:hint="eastAsia"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hint="eastAsia" w:ascii="宋体" w:hAnsi="宋体" w:eastAsia="宋体" w:cs="Times New Roman"/>
          <w:sz w:val="24"/>
          <w:szCs w:val="22"/>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w:t>
      </w:r>
      <w:r>
        <w:rPr>
          <w:rFonts w:ascii="宋体" w:hAnsi="宋体" w:eastAsia="宋体" w:cs="Times New Roman"/>
          <w:sz w:val="24"/>
          <w:szCs w:val="22"/>
          <w:highlight w:val="none"/>
        </w:rPr>
        <w:t xml:space="preserve">服务全部由符合政策要求的中小企业承接。</w:t>
      </w:r>
      <w:r/>
    </w:p>
    <w:p>
      <w:pPr>
        <w:ind w:firstLine="480"/>
        <w:spacing w:line="50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620" w:firstLine="28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right="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right="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w:t>
      </w:r>
      <w:r>
        <w:rPr>
          <w:rFonts w:hint="eastAsia" w:ascii="宋体" w:hAnsi="宋体" w:eastAsia="宋体" w:cs="Times New Roman"/>
          <w:sz w:val="24"/>
          <w:szCs w:val="22"/>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3、成交供应商的《中小企业声明函》随成交结果公开，接受社会监督。</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260" w:after="260" w:line="416" w:lineRule="auto"/>
        <w:rPr>
          <w:rFonts w:ascii="Arial" w:hAnsi="Arial" w:eastAsia="宋体" w:cs="Arial"/>
          <w:sz w:val="36"/>
          <w:szCs w:val="22"/>
          <w:highlight w:val="none"/>
        </w:rPr>
        <w:outlineLvl w:val="1"/>
      </w:pPr>
      <w:r>
        <w:rPr>
          <w:rFonts w:hint="eastAsia" w:ascii="Arial" w:hAnsi="Arial" w:eastAsia="宋体" w:cs="Arial"/>
          <w:i/>
          <w:iCs/>
          <w:sz w:val="36"/>
          <w:szCs w:val="22"/>
          <w:highlight w:val="none"/>
          <w:u w:val="single"/>
        </w:rPr>
        <w:t xml:space="preserve">十二、残疾人福利性单位声明函（分包号：**）</w:t>
      </w:r>
      <w:r/>
    </w:p>
    <w:p>
      <w:pPr>
        <w:jc w:val="center"/>
        <w:spacing w:line="360" w:lineRule="auto"/>
        <w:tabs>
          <w:tab w:val="left" w:pos="360" w:leader="none"/>
        </w:tabs>
        <w:rPr>
          <w:rFonts w:hint="eastAsia"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）采购活动由本单位提供全部服务。</w:t>
      </w:r>
      <w:r/>
    </w:p>
    <w:p>
      <w:pPr>
        <w:ind w:firstLine="480"/>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r>
      <w:r/>
    </w:p>
    <w:p>
      <w:pPr>
        <w:ind w:right="1620" w:firstLine="28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w:t>
      </w:r>
      <w:r>
        <w:rPr>
          <w:rFonts w:hint="eastAsia" w:ascii="宋体" w:hAnsi="宋体" w:eastAsia="宋体" w:cs="Times New Roman"/>
          <w:bCs/>
          <w:sz w:val="24"/>
          <w:szCs w:val="22"/>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2、成交供应商的《残疾人福利性单位声明函》随成交结果公开</w:t>
      </w:r>
      <w:r>
        <w:rPr>
          <w:rFonts w:hint="eastAsia" w:ascii="宋体" w:hAnsi="宋体" w:eastAsia="宋体" w:cs="Times New Roman"/>
          <w:sz w:val="24"/>
          <w:szCs w:val="24"/>
          <w:highlight w:val="none"/>
        </w:rPr>
        <w:t xml:space="preserve">，接受社会监督</w:t>
      </w:r>
      <w:r>
        <w:rPr>
          <w:rFonts w:hint="eastAsia" w:ascii="宋体" w:hAnsi="宋体" w:eastAsia="宋体" w:cs="Times New Roman"/>
          <w:bCs/>
          <w:sz w:val="24"/>
          <w:szCs w:val="24"/>
          <w:highlight w:val="none"/>
        </w:rPr>
        <w:t xml:space="preserve">。</w:t>
      </w:r>
      <w:r>
        <w:rPr>
          <w:rFonts w:hint="eastAsia" w:ascii="Arial" w:hAnsi="Arial" w:eastAsia="宋体" w:cs="Arial"/>
          <w:i/>
          <w:iCs/>
          <w:sz w:val="36"/>
          <w:szCs w:val="22"/>
          <w:highlight w:val="none"/>
          <w:u w:val="single"/>
        </w:rPr>
        <w:br w:type="page" w:clear="all"/>
      </w:r>
      <w:r/>
    </w:p>
    <w:p>
      <w:pPr>
        <w:jc w:val="left"/>
        <w:keepLines/>
        <w:keepNext/>
        <w:spacing w:before="360" w:after="200" w:line="360" w:lineRule="auto"/>
        <w:rPr>
          <w:rFonts w:ascii="Arial" w:hAnsi="Arial" w:eastAsia="宋体" w:cs="Arial"/>
          <w:i/>
          <w:iCs/>
          <w:sz w:val="36"/>
          <w:szCs w:val="22"/>
          <w:highlight w:val="none"/>
          <w:u w:val="single"/>
        </w:rPr>
        <w:outlineLvl w:val="1"/>
      </w:pPr>
      <w:r>
        <w:rPr>
          <w:rFonts w:hint="eastAsia" w:ascii="Arial" w:hAnsi="Arial" w:eastAsia="宋体" w:cs="Arial"/>
          <w:i/>
          <w:iCs/>
          <w:sz w:val="36"/>
          <w:szCs w:val="22"/>
          <w:highlight w:val="none"/>
          <w:u w:val="single"/>
        </w:rPr>
        <w:t xml:space="preserve">十三、分项报价表（分包号：**）</w:t>
      </w:r>
      <w:r/>
    </w:p>
    <w:p>
      <w:pPr>
        <w:jc w:val="center"/>
        <w:spacing w:line="360" w:lineRule="auto"/>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分项报价表</w:t>
      </w:r>
      <w:r/>
    </w:p>
    <w:p>
      <w:pPr>
        <w:jc w:val="left"/>
        <w:spacing w:line="360" w:lineRule="auto"/>
        <w:rPr>
          <w:rFonts w:hint="eastAsia"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p>
      <w:pPr>
        <w:jc w:val="righ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t xml:space="preserve">单位：元</w:t>
      </w:r>
      <w:r/>
    </w:p>
    <w:tbl>
      <w:tblPr>
        <w:tblStyle w:val="864"/>
        <w:tblW w:w="9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gridCol w:w="937"/>
      </w:tblGrid>
      <w:tr>
        <w:trPr>
          <w:cantSplit/>
          <w:jc w:val="center"/>
          <w:trHeight w:val="898"/>
        </w:trPr>
        <w:tc>
          <w:tcPr>
            <w:tcW w:w="896"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序号</w:t>
            </w:r>
            <w:r/>
          </w:p>
        </w:tc>
        <w:tc>
          <w:tcPr>
            <w:tcW w:w="1756"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产品、服务（标的）名称</w:t>
            </w:r>
            <w:r/>
          </w:p>
        </w:tc>
        <w:tc>
          <w:tcPr>
            <w:tcW w:w="1417"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分项单位</w:t>
            </w:r>
            <w:r/>
          </w:p>
        </w:tc>
        <w:tc>
          <w:tcPr>
            <w:tcW w:w="993"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数量</w:t>
            </w:r>
            <w:r/>
          </w:p>
        </w:tc>
        <w:tc>
          <w:tcPr>
            <w:tcW w:w="1093"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单价</w:t>
            </w:r>
            <w:r/>
          </w:p>
        </w:tc>
        <w:tc>
          <w:tcPr>
            <w:tcW w:w="2350"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单项</w:t>
            </w:r>
            <w:r/>
          </w:p>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合计价</w:t>
            </w:r>
            <w:r/>
          </w:p>
        </w:tc>
        <w:tc>
          <w:tcPr>
            <w:tcW w:w="937"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备注</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1756"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1417"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993"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1093"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2350"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937"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1756"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1417"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993"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1093"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2350"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937"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1756"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1417"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993"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1093"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2350"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937"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总计（元）</w:t>
            </w:r>
            <w:r/>
          </w:p>
        </w:tc>
        <w:tc>
          <w:tcPr>
            <w:tcW w:w="2350"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c>
          <w:tcPr>
            <w:tcW w:w="937" w:type="dxa"/>
            <w:vAlign w:val="center"/>
            <w:textDirection w:val="lrTb"/>
            <w:noWrap w:val="false"/>
          </w:tcPr>
          <w:p>
            <w:pPr>
              <w:jc w:val="center"/>
              <w:spacing w:line="560" w:lineRule="exact"/>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80"/>
        <w:spacing w:line="500" w:lineRule="exact"/>
        <w:rPr>
          <w:rFonts w:hint="eastAsia" w:ascii="宋体" w:hAnsi="宋体" w:eastAsia="宋体" w:cs="Times New Roman"/>
          <w:i/>
          <w:iCs/>
          <w:color w:val="000000"/>
          <w:sz w:val="24"/>
          <w:szCs w:val="24"/>
          <w:highlight w:val="none"/>
          <w:u w:val="single"/>
        </w:rPr>
      </w:pPr>
      <w:r>
        <w:rPr>
          <w:rFonts w:hint="eastAsia" w:ascii="宋体" w:hAnsi="宋体" w:eastAsia="宋体" w:cs="Times New Roman"/>
          <w:i/>
          <w:iCs/>
          <w:color w:val="000000"/>
          <w:sz w:val="24"/>
          <w:szCs w:val="24"/>
          <w:highlight w:val="none"/>
          <w:u w:val="single"/>
        </w:rPr>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供应商（盖章）：</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w:t>
      </w:r>
      <w:r>
        <w:rPr>
          <w:rFonts w:ascii="宋体" w:hAnsi="宋体" w:eastAsia="宋体" w:cs="Times New Roman"/>
          <w:color w:val="000000"/>
          <w:sz w:val="24"/>
          <w:szCs w:val="24"/>
          <w:highlight w:val="none"/>
        </w:rPr>
        <w:t xml:space="preserve">（单位负责人）</w:t>
      </w:r>
      <w:r>
        <w:rPr>
          <w:rFonts w:hint="eastAsia" w:ascii="宋体" w:hAnsi="宋体" w:eastAsia="宋体" w:cs="Times New Roman"/>
          <w:color w:val="000000"/>
          <w:sz w:val="24"/>
          <w:szCs w:val="24"/>
          <w:highlight w:val="none"/>
        </w:rPr>
        <w:t xml:space="preserve">或委托代理人（签字或盖章）：</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年     月     日</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360" w:after="200" w:line="360" w:lineRule="auto"/>
        <w:rPr>
          <w:rFonts w:ascii="Arial" w:hAnsi="Arial" w:eastAsia="宋体" w:cs="Arial"/>
          <w:i/>
          <w:iCs/>
          <w:sz w:val="36"/>
          <w:szCs w:val="22"/>
          <w:highlight w:val="none"/>
          <w:u w:val="single"/>
        </w:rPr>
        <w:outlineLvl w:val="1"/>
      </w:pPr>
      <w:r>
        <w:rPr>
          <w:rFonts w:hint="eastAsia" w:ascii="Arial" w:hAnsi="Arial" w:eastAsia="宋体" w:cs="Arial"/>
          <w:i/>
          <w:iCs/>
          <w:sz w:val="36"/>
          <w:szCs w:val="22"/>
          <w:highlight w:val="none"/>
          <w:u w:val="single"/>
        </w:rPr>
        <w:t xml:space="preserve">十四、技术要求响应及偏离表（分包号：**）</w:t>
      </w:r>
      <w:r/>
    </w:p>
    <w:p>
      <w:pPr>
        <w:jc w:val="center"/>
        <w:spacing w:line="360" w:lineRule="auto"/>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szCs w:val="22"/>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6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327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磋商文件要求</w:t>
            </w:r>
            <w:r/>
          </w:p>
        </w:tc>
        <w:tc>
          <w:tcPr>
            <w:tcW w:w="302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响应情况</w:t>
            </w:r>
            <w:r/>
          </w:p>
        </w:tc>
        <w:tc>
          <w:tcPr>
            <w:tcW w:w="139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7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7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7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7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i/>
          <w:iCs/>
          <w:sz w:val="36"/>
          <w:szCs w:val="22"/>
          <w:highlight w:val="none"/>
          <w:u w:val="single"/>
        </w:rPr>
        <w:outlineLvl w:val="1"/>
      </w:pPr>
      <w:r/>
      <w:bookmarkStart w:id="60" w:name="_Hlt26955054"/>
      <w:r/>
      <w:bookmarkEnd w:id="60"/>
      <w:r>
        <w:rPr>
          <w:rFonts w:hint="eastAsia" w:ascii="Arial" w:hAnsi="Arial" w:eastAsia="宋体" w:cs="Arial"/>
          <w:i/>
          <w:iCs/>
          <w:sz w:val="36"/>
          <w:szCs w:val="22"/>
          <w:highlight w:val="none"/>
          <w:u w:val="single"/>
        </w:rPr>
        <w:t xml:space="preserve">十五、商务要求响应及偏离表（分包号：**）</w:t>
      </w:r>
      <w:r/>
    </w:p>
    <w:p>
      <w:pPr>
        <w:jc w:val="center"/>
        <w:spacing w:line="360" w:lineRule="auto"/>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rFonts w:ascii="Calibri" w:hAnsi="Calibri" w:eastAsia="宋体" w:cs="Times New Roman"/>
          <w:szCs w:val="22"/>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6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000000"/>
                <w:sz w:val="24"/>
                <w:szCs w:val="24"/>
                <w:highlight w:val="none"/>
              </w:rPr>
            </w:pPr>
            <w:r/>
            <w:bookmarkStart w:id="61" w:name="_Hlt26955056"/>
            <w:r/>
            <w:bookmarkEnd w:id="61"/>
            <w:r/>
            <w:bookmarkStart w:id="62" w:name="_Hlt26671372"/>
            <w:r/>
            <w:bookmarkEnd w:id="62"/>
            <w:r/>
            <w:bookmarkStart w:id="63" w:name="_Hlt26580838"/>
            <w:r/>
            <w:bookmarkEnd w:id="63"/>
            <w:r/>
            <w:bookmarkStart w:id="64" w:name="_Hlt26609391"/>
            <w:r/>
            <w:bookmarkEnd w:id="64"/>
            <w:r/>
            <w:bookmarkStart w:id="65" w:name="_Hlt26782999"/>
            <w:r/>
            <w:bookmarkEnd w:id="65"/>
            <w:r/>
            <w:bookmarkStart w:id="66" w:name="_Hlt24879081"/>
            <w:r/>
            <w:bookmarkEnd w:id="66"/>
            <w:r/>
            <w:bookmarkStart w:id="67" w:name="_Hlt26955064"/>
            <w:r/>
            <w:bookmarkEnd w:id="67"/>
            <w:r/>
            <w:bookmarkStart w:id="68" w:name="_Hlt26671343"/>
            <w:r/>
            <w:bookmarkEnd w:id="68"/>
            <w:r>
              <w:rPr>
                <w:rFonts w:hint="eastAsia" w:ascii="宋体" w:hAnsi="宋体" w:eastAsia="宋体" w:cs="Times New Roman"/>
                <w:color w:val="000000"/>
                <w:sz w:val="24"/>
                <w:szCs w:val="24"/>
                <w:highlight w:val="none"/>
              </w:rPr>
              <w:t xml:space="preserve">序号</w:t>
            </w:r>
            <w:r/>
          </w:p>
        </w:tc>
        <w:tc>
          <w:tcPr>
            <w:tcW w:w="326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磋商文件要求</w:t>
            </w:r>
            <w:r/>
          </w:p>
        </w:tc>
        <w:tc>
          <w:tcPr>
            <w:tcW w:w="30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响应情况</w:t>
            </w:r>
            <w:r/>
          </w:p>
        </w:tc>
        <w:tc>
          <w:tcPr>
            <w:tcW w:w="139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6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6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6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63"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360" w:after="200" w:line="360" w:lineRule="auto"/>
        <w:rPr>
          <w:rFonts w:ascii="Arial" w:hAnsi="Arial" w:eastAsia="宋体" w:cs="Arial"/>
          <w:iCs/>
          <w:sz w:val="36"/>
          <w:szCs w:val="22"/>
          <w:highlight w:val="none"/>
        </w:rPr>
        <w:outlineLvl w:val="1"/>
      </w:pPr>
      <w:r>
        <w:rPr>
          <w:rFonts w:hint="eastAsia" w:ascii="Arial" w:hAnsi="Arial" w:eastAsia="宋体" w:cs="Arial"/>
          <w:iCs/>
          <w:sz w:val="36"/>
          <w:szCs w:val="22"/>
          <w:highlight w:val="none"/>
        </w:rPr>
        <w:t xml:space="preserve">十六、类似项目业绩一览表（分包号：**）</w:t>
      </w:r>
      <w:r/>
    </w:p>
    <w:p>
      <w:pPr>
        <w:jc w:val="center"/>
        <w:spacing w:line="360" w:lineRule="auto"/>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rFonts w:ascii="Calibri" w:hAnsi="Calibri" w:eastAsia="宋体" w:cs="Times New Roman"/>
          <w:szCs w:val="22"/>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6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68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850"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68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850"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68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850"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rFonts w:ascii="Calibri" w:hAnsi="Calibri" w:eastAsia="宋体" w:cs="Times New Roman"/>
          <w:szCs w:val="22"/>
          <w:highlight w:val="none"/>
        </w:rPr>
      </w:pPr>
      <w:r>
        <w:rPr>
          <w:rFonts w:ascii="Calibri" w:hAnsi="Calibri" w:eastAsia="宋体" w:cs="Times New Roman"/>
          <w:szCs w:val="22"/>
          <w:highlight w:val="none"/>
        </w:rPr>
      </w:r>
      <w:r/>
    </w:p>
    <w:p>
      <w:pPr>
        <w:rPr>
          <w:rFonts w:ascii="Calibri" w:hAnsi="Calibri" w:eastAsia="宋体" w:cs="Times New Roman"/>
          <w:szCs w:val="22"/>
          <w:highlight w:val="none"/>
        </w:rPr>
      </w:pPr>
      <w:r>
        <w:rPr>
          <w:rFonts w:ascii="Calibri" w:hAnsi="Calibri" w:eastAsia="宋体" w:cs="Times New Roman"/>
          <w:szCs w:val="22"/>
          <w:highlight w:val="none"/>
        </w:rPr>
      </w:r>
      <w:r/>
    </w:p>
    <w:p>
      <w:pPr>
        <w:jc w:val="left"/>
        <w:keepLines/>
        <w:keepNext/>
        <w:spacing w:before="360" w:after="200" w:line="360" w:lineRule="auto"/>
        <w:rPr>
          <w:rFonts w:ascii="Arial" w:hAnsi="Arial" w:eastAsia="宋体" w:cs="Arial"/>
          <w:iCs/>
          <w:sz w:val="36"/>
          <w:szCs w:val="22"/>
          <w:highlight w:val="none"/>
        </w:rPr>
        <w:outlineLvl w:val="1"/>
      </w:pPr>
      <w:r>
        <w:rPr>
          <w:rFonts w:hint="eastAsia" w:ascii="Arial" w:hAnsi="Arial" w:eastAsia="宋体" w:cs="Arial"/>
          <w:iCs/>
          <w:sz w:val="36"/>
          <w:szCs w:val="22"/>
          <w:highlight w:val="none"/>
        </w:rPr>
        <w:t xml:space="preserve">十七、项目团队人员一览表（分包号：**）</w:t>
      </w:r>
      <w:r/>
    </w:p>
    <w:p>
      <w:pPr>
        <w:jc w:val="center"/>
        <w:spacing w:line="360" w:lineRule="auto"/>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rFonts w:ascii="Calibri" w:hAnsi="Calibri" w:eastAsia="宋体" w:cs="Times New Roman"/>
          <w:szCs w:val="22"/>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6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4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2239"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1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239"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textDirection w:val="lrTb"/>
            <w:noWrap w:val="false"/>
          </w:tcPr>
          <w:p>
            <w:pPr>
              <w:jc w:val="center"/>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rPr>
              <w:t xml:space="preserve">采购</w:t>
            </w:r>
            <w:r>
              <w:rPr>
                <w:rFonts w:ascii="宋体" w:hAnsi="宋体" w:eastAsia="宋体" w:cs="Times New Roman"/>
                <w:color w:val="000000"/>
                <w:sz w:val="24"/>
                <w:szCs w:val="24"/>
                <w:highlight w:val="none"/>
              </w:rPr>
              <w:t xml:space="preserve">需求、评分办法确定一览表格式</w:t>
            </w:r>
            <w:r/>
          </w:p>
        </w:tc>
        <w:tc>
          <w:tcPr>
            <w:tcW w:w="1134" w:type="dxa"/>
            <w:vAlign w:val="center"/>
            <w:textDirection w:val="lrTb"/>
            <w:noWrap w:val="false"/>
          </w:tcPr>
          <w:p>
            <w:pPr>
              <w:jc w:val="center"/>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rPr>
              <w:t xml:space="preserve">采购</w:t>
            </w:r>
            <w:r>
              <w:rPr>
                <w:rFonts w:ascii="宋体" w:hAnsi="宋体" w:eastAsia="宋体" w:cs="Times New Roman"/>
                <w:color w:val="000000"/>
                <w:sz w:val="24"/>
                <w:szCs w:val="24"/>
                <w:highlight w:val="none"/>
              </w:rPr>
              <w:t xml:space="preserve">需求、评分办法确定一览表格式</w:t>
            </w:r>
            <w:r/>
          </w:p>
        </w:tc>
        <w:tc>
          <w:tcPr>
            <w:tcW w:w="160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239"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239"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hint="eastAsia"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p>
    <w:p>
      <w:pPr>
        <w:spacing w:line="500" w:lineRule="exact"/>
        <w:rPr>
          <w:rFonts w:hint="eastAsia"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hint="eastAsia"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hint="eastAsia"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hint="eastAsia"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rFonts w:ascii="Calibri" w:hAnsi="Calibri" w:eastAsia="宋体" w:cs="Times New Roman"/>
          <w:sz w:val="24"/>
          <w:szCs w:val="24"/>
          <w:highlight w:val="none"/>
        </w:rPr>
      </w:pPr>
      <w:r>
        <w:rPr>
          <w:rFonts w:hint="eastAsia" w:ascii="宋体" w:hAnsi="宋体" w:eastAsia="宋体" w:cs="Times New Roman"/>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highlight w:val="none"/>
        </w:rPr>
      </w:pPr>
      <w:r>
        <w:rPr>
          <w:highlight w:val="none"/>
        </w:rPr>
      </w:r>
      <w:r/>
    </w:p>
    <w:sectPr>
      <w:footerReference w:type="default" r:id="rId10"/>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仿宋_GB2312">
    <w:panose1 w:val="02010609060101010101"/>
  </w:font>
  <w:font w:name="黑体">
    <w:panose1 w:val="02010609060101010101"/>
  </w:font>
  <w:font w:name="MS Mincho">
    <w:panose1 w:val="02020603050405090304"/>
  </w:font>
  <w:font w:name="宋体">
    <w:panose1 w:val="02010600030101010101"/>
  </w:font>
  <w:font w:name="Times New Roman">
    <w:panose1 w:val="02020603050405020304"/>
  </w:font>
  <w:font w:name="Calibri">
    <w:panose1 w:val="020F05020202040302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eastAsia="宋体" w:cs="Times New Roman"/>
        <w:szCs w:val="22"/>
      </w:rPr>
    </w:pPr>
    <w:r>
      <w:rPr>
        <w:rFonts w:ascii="Calibri" w:hAnsi="Calibri" w:eastAsia="宋体" w:cs="Times New Roman"/>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32</w:t>
                          </w:r>
                          <w:r>
                            <w:rPr>
                              <w:rFonts w:ascii="Calibri" w:hAnsi="Calibri"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32</w:t>
                    </w:r>
                    <w:r>
                      <w:rPr>
                        <w:rFonts w:ascii="Calibri" w:hAnsi="Calibri"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62"/>
    <w:next w:val="862"/>
    <w:link w:val="686"/>
    <w:uiPriority w:val="9"/>
    <w:qFormat/>
    <w:pPr>
      <w:keepLines/>
      <w:keepNext/>
      <w:spacing w:before="480" w:after="200"/>
      <w:outlineLvl w:val="0"/>
    </w:pPr>
    <w:rPr>
      <w:rFonts w:ascii="Arial" w:hAnsi="Arial" w:eastAsia="Arial" w:cs="Arial"/>
      <w:sz w:val="40"/>
      <w:szCs w:val="40"/>
    </w:rPr>
  </w:style>
  <w:style w:type="character" w:styleId="686">
    <w:name w:val="Heading 1 Char"/>
    <w:basedOn w:val="863"/>
    <w:link w:val="685"/>
    <w:uiPriority w:val="9"/>
    <w:rPr>
      <w:rFonts w:ascii="Arial" w:hAnsi="Arial" w:eastAsia="Arial" w:cs="Arial"/>
      <w:sz w:val="40"/>
      <w:szCs w:val="40"/>
    </w:rPr>
  </w:style>
  <w:style w:type="paragraph" w:styleId="687">
    <w:name w:val="Heading 2"/>
    <w:basedOn w:val="862"/>
    <w:next w:val="862"/>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basedOn w:val="863"/>
    <w:link w:val="687"/>
    <w:uiPriority w:val="9"/>
    <w:rPr>
      <w:rFonts w:ascii="Arial" w:hAnsi="Arial" w:eastAsia="Arial" w:cs="Arial"/>
      <w:sz w:val="34"/>
    </w:rPr>
  </w:style>
  <w:style w:type="paragraph" w:styleId="689">
    <w:name w:val="Heading 3"/>
    <w:basedOn w:val="862"/>
    <w:next w:val="862"/>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basedOn w:val="863"/>
    <w:link w:val="689"/>
    <w:uiPriority w:val="9"/>
    <w:rPr>
      <w:rFonts w:ascii="Arial" w:hAnsi="Arial" w:eastAsia="Arial" w:cs="Arial"/>
      <w:sz w:val="30"/>
      <w:szCs w:val="30"/>
    </w:rPr>
  </w:style>
  <w:style w:type="paragraph" w:styleId="691">
    <w:name w:val="Heading 4"/>
    <w:basedOn w:val="862"/>
    <w:next w:val="862"/>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basedOn w:val="863"/>
    <w:link w:val="691"/>
    <w:uiPriority w:val="9"/>
    <w:rPr>
      <w:rFonts w:ascii="Arial" w:hAnsi="Arial" w:eastAsia="Arial" w:cs="Arial"/>
      <w:b/>
      <w:bCs/>
      <w:sz w:val="26"/>
      <w:szCs w:val="26"/>
    </w:rPr>
  </w:style>
  <w:style w:type="paragraph" w:styleId="693">
    <w:name w:val="Heading 5"/>
    <w:basedOn w:val="862"/>
    <w:next w:val="862"/>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basedOn w:val="863"/>
    <w:link w:val="693"/>
    <w:uiPriority w:val="9"/>
    <w:rPr>
      <w:rFonts w:ascii="Arial" w:hAnsi="Arial" w:eastAsia="Arial" w:cs="Arial"/>
      <w:b/>
      <w:bCs/>
      <w:sz w:val="24"/>
      <w:szCs w:val="24"/>
    </w:rPr>
  </w:style>
  <w:style w:type="paragraph" w:styleId="695">
    <w:name w:val="Heading 6"/>
    <w:basedOn w:val="862"/>
    <w:next w:val="862"/>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63"/>
    <w:link w:val="695"/>
    <w:uiPriority w:val="9"/>
    <w:rPr>
      <w:rFonts w:ascii="Arial" w:hAnsi="Arial" w:eastAsia="Arial" w:cs="Arial"/>
      <w:b/>
      <w:bCs/>
      <w:sz w:val="22"/>
      <w:szCs w:val="22"/>
    </w:rPr>
  </w:style>
  <w:style w:type="paragraph" w:styleId="697">
    <w:name w:val="Heading 7"/>
    <w:basedOn w:val="862"/>
    <w:next w:val="862"/>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63"/>
    <w:link w:val="697"/>
    <w:uiPriority w:val="9"/>
    <w:rPr>
      <w:rFonts w:ascii="Arial" w:hAnsi="Arial" w:eastAsia="Arial" w:cs="Arial"/>
      <w:b/>
      <w:bCs/>
      <w:i/>
      <w:iCs/>
      <w:sz w:val="22"/>
      <w:szCs w:val="22"/>
    </w:rPr>
  </w:style>
  <w:style w:type="paragraph" w:styleId="699">
    <w:name w:val="Heading 8"/>
    <w:basedOn w:val="862"/>
    <w:next w:val="862"/>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63"/>
    <w:link w:val="699"/>
    <w:uiPriority w:val="9"/>
    <w:rPr>
      <w:rFonts w:ascii="Arial" w:hAnsi="Arial" w:eastAsia="Arial" w:cs="Arial"/>
      <w:i/>
      <w:iCs/>
      <w:sz w:val="22"/>
      <w:szCs w:val="22"/>
    </w:rPr>
  </w:style>
  <w:style w:type="paragraph" w:styleId="701">
    <w:name w:val="Heading 9"/>
    <w:basedOn w:val="862"/>
    <w:next w:val="862"/>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63"/>
    <w:link w:val="701"/>
    <w:uiPriority w:val="9"/>
    <w:rPr>
      <w:rFonts w:ascii="Arial" w:hAnsi="Arial" w:eastAsia="Arial" w:cs="Arial"/>
      <w:i/>
      <w:iCs/>
      <w:sz w:val="21"/>
      <w:szCs w:val="21"/>
    </w:rPr>
  </w:style>
  <w:style w:type="paragraph" w:styleId="703">
    <w:name w:val="List Paragraph"/>
    <w:basedOn w:val="862"/>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62"/>
    <w:next w:val="862"/>
    <w:link w:val="706"/>
    <w:uiPriority w:val="10"/>
    <w:qFormat/>
    <w:pPr>
      <w:contextualSpacing/>
      <w:spacing w:before="300" w:after="200"/>
    </w:pPr>
    <w:rPr>
      <w:sz w:val="48"/>
      <w:szCs w:val="48"/>
    </w:rPr>
  </w:style>
  <w:style w:type="character" w:styleId="706">
    <w:name w:val="Title Char"/>
    <w:basedOn w:val="863"/>
    <w:link w:val="705"/>
    <w:uiPriority w:val="10"/>
    <w:rPr>
      <w:sz w:val="48"/>
      <w:szCs w:val="48"/>
    </w:rPr>
  </w:style>
  <w:style w:type="paragraph" w:styleId="707">
    <w:name w:val="Subtitle"/>
    <w:basedOn w:val="862"/>
    <w:next w:val="862"/>
    <w:link w:val="708"/>
    <w:uiPriority w:val="11"/>
    <w:qFormat/>
    <w:pPr>
      <w:spacing w:before="200" w:after="200"/>
    </w:pPr>
    <w:rPr>
      <w:sz w:val="24"/>
      <w:szCs w:val="24"/>
    </w:rPr>
  </w:style>
  <w:style w:type="character" w:styleId="708">
    <w:name w:val="Subtitle Char"/>
    <w:basedOn w:val="863"/>
    <w:link w:val="707"/>
    <w:uiPriority w:val="11"/>
    <w:rPr>
      <w:sz w:val="24"/>
      <w:szCs w:val="24"/>
    </w:rPr>
  </w:style>
  <w:style w:type="paragraph" w:styleId="709">
    <w:name w:val="Quote"/>
    <w:basedOn w:val="862"/>
    <w:next w:val="862"/>
    <w:link w:val="710"/>
    <w:uiPriority w:val="29"/>
    <w:qFormat/>
    <w:pPr>
      <w:ind w:left="720" w:right="720"/>
    </w:pPr>
    <w:rPr>
      <w:i/>
    </w:rPr>
  </w:style>
  <w:style w:type="character" w:styleId="710">
    <w:name w:val="Quote Char"/>
    <w:link w:val="709"/>
    <w:uiPriority w:val="29"/>
    <w:rPr>
      <w:i/>
    </w:rPr>
  </w:style>
  <w:style w:type="paragraph" w:styleId="711">
    <w:name w:val="Intense Quote"/>
    <w:basedOn w:val="862"/>
    <w:next w:val="862"/>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2"/>
    <w:link w:val="714"/>
    <w:uiPriority w:val="99"/>
    <w:unhideWhenUsed/>
    <w:pPr>
      <w:spacing w:after="0" w:line="240" w:lineRule="auto"/>
      <w:tabs>
        <w:tab w:val="center" w:pos="7143" w:leader="none"/>
        <w:tab w:val="right" w:pos="14287" w:leader="none"/>
      </w:tabs>
    </w:pPr>
  </w:style>
  <w:style w:type="character" w:styleId="714">
    <w:name w:val="Header Char"/>
    <w:basedOn w:val="863"/>
    <w:link w:val="713"/>
    <w:uiPriority w:val="99"/>
  </w:style>
  <w:style w:type="paragraph" w:styleId="715">
    <w:name w:val="Footer"/>
    <w:basedOn w:val="862"/>
    <w:link w:val="718"/>
    <w:uiPriority w:val="99"/>
    <w:unhideWhenUsed/>
    <w:pPr>
      <w:spacing w:after="0" w:line="240" w:lineRule="auto"/>
      <w:tabs>
        <w:tab w:val="center" w:pos="7143" w:leader="none"/>
        <w:tab w:val="right" w:pos="14287" w:leader="none"/>
      </w:tabs>
    </w:pPr>
  </w:style>
  <w:style w:type="character" w:styleId="716">
    <w:name w:val="Footer Char"/>
    <w:basedOn w:val="863"/>
    <w:link w:val="715"/>
    <w:uiPriority w:val="99"/>
  </w:style>
  <w:style w:type="paragraph" w:styleId="717">
    <w:name w:val="Caption"/>
    <w:basedOn w:val="862"/>
    <w:next w:val="862"/>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5">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6">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7">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8">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9">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0">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7">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0">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1">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2">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3">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4">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5">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7">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8">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9">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0">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1">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2">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1">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2">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3">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4">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5">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6">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8">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9">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0">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1">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2">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3">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5">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6">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7">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8">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9">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0">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2">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3">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4">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5">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6">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7">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3"/>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3"/>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63" w:default="1">
    <w:name w:val="Default Paragraph Font"/>
    <w:uiPriority w:val="0"/>
    <w:semiHidden/>
    <w:qFormat/>
  </w:style>
  <w:style w:type="table" w:styleId="864" w:default="1">
    <w:name w:val="Normal Table"/>
    <w:uiPriority w:val="0"/>
    <w:semiHidden/>
    <w:qFormat/>
    <w:tblPr>
      <w:tblCellMar>
        <w:left w:w="108" w:type="dxa"/>
        <w:top w:w="0" w:type="dxa"/>
        <w:right w:w="108" w:type="dxa"/>
        <w:bottom w:w="0" w:type="dxa"/>
      </w:tblCellMar>
    </w:tbl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OoO</dc:creator>
  <cp:lastModifiedBy>徐凤</cp:lastModifiedBy>
  <cp:revision>4</cp:revision>
  <dcterms:created xsi:type="dcterms:W3CDTF">2025-10-15T08:49:00Z</dcterms:created>
  <dcterms:modified xsi:type="dcterms:W3CDTF">2025-11-10T02:15:10Z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C1F5960EE45D44B7AD2CC01A98F23E39_11</vt:lpwstr>
  </property>
  <property fmtid="{D5CDD505-2E9C-101B-9397-08002B2CF9AE}" pid="4" name="KSOTemplateDocerSaveRecord">
    <vt:lpwstr>eyJoZGlkIjoiODhiMDg0NWJhYzMyNjU3MzBlM2NkNDYzMzc3YWQ4OWMiLCJ1c2VySWQiOiI3NTczODkwOTgifQ==</vt:lpwstr>
  </property>
</Properties>
</file>